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35" w:rsidRDefault="00D51C35" w:rsidP="00D51C3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C35" w:rsidRPr="00D51C35" w:rsidRDefault="00D51C35" w:rsidP="00D51C3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620200099/30311(6)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84VAMAAAMI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M0kbzh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D51C35" w:rsidRPr="00D51C35" w:rsidRDefault="00D51C35" w:rsidP="00D51C3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620200099/30311(6)</w:t>
                      </w:r>
                    </w:p>
                  </w:txbxContent>
                </v:textbox>
              </v:rect>
            </w:pict>
          </mc:Fallback>
        </mc:AlternateContent>
      </w:r>
    </w:p>
    <w:p w:rsidR="00D51C35" w:rsidRDefault="00D51C35" w:rsidP="00D51C3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51C35" w:rsidRPr="00D51C35" w:rsidRDefault="00D51C35" w:rsidP="00D51C3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51C35" w:rsidRPr="00D51C35" w:rsidRDefault="00D51C35" w:rsidP="00D51C3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51C3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51C35">
        <w:rPr>
          <w:rFonts w:ascii="Times New Roman" w:eastAsia="Calibri" w:hAnsi="Times New Roman" w:cs="Times New Roman"/>
          <w:sz w:val="36"/>
          <w:szCs w:val="36"/>
        </w:rPr>
        <w:br/>
      </w:r>
      <w:r w:rsidRPr="00D51C3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D51C35" w:rsidRPr="00D51C35" w:rsidRDefault="00D51C35" w:rsidP="00D51C35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51C3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51C35">
        <w:rPr>
          <w:rFonts w:ascii="Times New Roman" w:eastAsia="Calibri" w:hAnsi="Times New Roman" w:cs="Times New Roman"/>
          <w:sz w:val="36"/>
          <w:szCs w:val="36"/>
        </w:rPr>
        <w:br/>
      </w:r>
      <w:r w:rsidRPr="00D51C35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2521D0" w:rsidRPr="002521D0" w:rsidRDefault="002521D0" w:rsidP="008730BF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521D0" w:rsidRDefault="00110658" w:rsidP="0011065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17 января 2025 г. № 9</w:t>
      </w:r>
    </w:p>
    <w:p w:rsidR="00110658" w:rsidRPr="002521D0" w:rsidRDefault="00110658" w:rsidP="0011065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г. Кызыл</w:t>
      </w:r>
    </w:p>
    <w:p w:rsidR="00D07109" w:rsidRPr="002521D0" w:rsidRDefault="00D07109" w:rsidP="008730BF">
      <w:pPr>
        <w:pStyle w:val="ConsPlusTitle"/>
        <w:widowControl/>
        <w:spacing w:line="30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521D0" w:rsidRPr="002521D0" w:rsidRDefault="00B252E7" w:rsidP="00873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D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</w:t>
      </w:r>
    </w:p>
    <w:p w:rsidR="002521D0" w:rsidRPr="002521D0" w:rsidRDefault="00B252E7" w:rsidP="00873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D0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 w:rsidR="00AD6A95" w:rsidRPr="002521D0">
        <w:rPr>
          <w:rFonts w:ascii="Times New Roman" w:hAnsi="Times New Roman" w:cs="Times New Roman"/>
          <w:b/>
          <w:sz w:val="28"/>
          <w:szCs w:val="28"/>
        </w:rPr>
        <w:t xml:space="preserve">юридическим лицам, 100 процентов </w:t>
      </w:r>
    </w:p>
    <w:p w:rsidR="002521D0" w:rsidRPr="002521D0" w:rsidRDefault="00AD6A95" w:rsidP="00873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D0">
        <w:rPr>
          <w:rFonts w:ascii="Times New Roman" w:hAnsi="Times New Roman" w:cs="Times New Roman"/>
          <w:b/>
          <w:sz w:val="28"/>
          <w:szCs w:val="28"/>
        </w:rPr>
        <w:t xml:space="preserve">акций (долей) которых принадлежит Республике </w:t>
      </w:r>
    </w:p>
    <w:p w:rsidR="002521D0" w:rsidRPr="002521D0" w:rsidRDefault="00AD6A95" w:rsidP="00873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D0">
        <w:rPr>
          <w:rFonts w:ascii="Times New Roman" w:hAnsi="Times New Roman" w:cs="Times New Roman"/>
          <w:b/>
          <w:sz w:val="28"/>
          <w:szCs w:val="28"/>
        </w:rPr>
        <w:t>Тыва</w:t>
      </w:r>
      <w:r w:rsidR="00A212BE">
        <w:rPr>
          <w:rFonts w:ascii="Times New Roman" w:hAnsi="Times New Roman" w:cs="Times New Roman"/>
          <w:b/>
          <w:sz w:val="28"/>
          <w:szCs w:val="28"/>
        </w:rPr>
        <w:t>,</w:t>
      </w:r>
      <w:r w:rsidRPr="00252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2E7" w:rsidRPr="002521D0">
        <w:rPr>
          <w:rFonts w:ascii="Times New Roman" w:hAnsi="Times New Roman" w:cs="Times New Roman"/>
          <w:b/>
          <w:sz w:val="28"/>
          <w:szCs w:val="28"/>
        </w:rPr>
        <w:t>в целях</w:t>
      </w:r>
      <w:r w:rsidR="002521D0" w:rsidRPr="00252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2E7" w:rsidRPr="002521D0">
        <w:rPr>
          <w:rFonts w:ascii="Times New Roman" w:hAnsi="Times New Roman" w:cs="Times New Roman"/>
          <w:b/>
          <w:sz w:val="28"/>
          <w:szCs w:val="28"/>
        </w:rPr>
        <w:t xml:space="preserve">возмещения части затрат на </w:t>
      </w:r>
    </w:p>
    <w:p w:rsidR="002521D0" w:rsidRPr="002521D0" w:rsidRDefault="00B252E7" w:rsidP="00873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D0">
        <w:rPr>
          <w:rFonts w:ascii="Times New Roman" w:hAnsi="Times New Roman" w:cs="Times New Roman"/>
          <w:b/>
          <w:sz w:val="28"/>
          <w:szCs w:val="28"/>
        </w:rPr>
        <w:t>сохранение объектов культурного</w:t>
      </w:r>
      <w:r w:rsidR="002521D0" w:rsidRPr="00252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1D0">
        <w:rPr>
          <w:rFonts w:ascii="Times New Roman" w:hAnsi="Times New Roman" w:cs="Times New Roman"/>
          <w:b/>
          <w:sz w:val="28"/>
          <w:szCs w:val="28"/>
        </w:rPr>
        <w:t xml:space="preserve">наследия, </w:t>
      </w:r>
    </w:p>
    <w:p w:rsidR="00B252E7" w:rsidRPr="002521D0" w:rsidRDefault="00B252E7" w:rsidP="00873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D0">
        <w:rPr>
          <w:rFonts w:ascii="Times New Roman" w:hAnsi="Times New Roman" w:cs="Times New Roman"/>
          <w:b/>
          <w:sz w:val="28"/>
          <w:szCs w:val="28"/>
        </w:rPr>
        <w:t>выявленных объектов культурного наследия,</w:t>
      </w:r>
    </w:p>
    <w:p w:rsidR="00924730" w:rsidRPr="002521D0" w:rsidRDefault="00B252E7" w:rsidP="00873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D0">
        <w:rPr>
          <w:rFonts w:ascii="Times New Roman" w:hAnsi="Times New Roman" w:cs="Times New Roman"/>
          <w:b/>
          <w:sz w:val="28"/>
          <w:szCs w:val="28"/>
        </w:rPr>
        <w:t xml:space="preserve">расположенных на территории </w:t>
      </w:r>
      <w:r w:rsidR="00D07109" w:rsidRPr="002521D0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</w:p>
    <w:p w:rsidR="00924730" w:rsidRPr="002521D0" w:rsidRDefault="00924730" w:rsidP="00873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1D0" w:rsidRPr="002521D0" w:rsidRDefault="002521D0" w:rsidP="00873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157" w:rsidRPr="002521D0" w:rsidRDefault="00B252E7" w:rsidP="002C6102">
      <w:pPr>
        <w:tabs>
          <w:tab w:val="left" w:pos="709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1D0">
        <w:rPr>
          <w:rFonts w:ascii="Times New Roman" w:eastAsia="Calibri" w:hAnsi="Times New Roman" w:cs="Times New Roman"/>
          <w:sz w:val="28"/>
          <w:szCs w:val="28"/>
        </w:rPr>
        <w:t>В соответствии со статьей 78 Бюджетного кодекса Российской Федер</w:t>
      </w:r>
      <w:r w:rsidRPr="002521D0">
        <w:rPr>
          <w:rFonts w:ascii="Times New Roman" w:eastAsia="Calibri" w:hAnsi="Times New Roman" w:cs="Times New Roman"/>
          <w:sz w:val="28"/>
          <w:szCs w:val="28"/>
        </w:rPr>
        <w:t>а</w:t>
      </w:r>
      <w:r w:rsidRPr="002521D0">
        <w:rPr>
          <w:rFonts w:ascii="Times New Roman" w:eastAsia="Calibri" w:hAnsi="Times New Roman" w:cs="Times New Roman"/>
          <w:sz w:val="28"/>
          <w:szCs w:val="28"/>
        </w:rPr>
        <w:t xml:space="preserve">ции, в целях сохранения объектов культурного наследия, выявленных объектов культурного наследия, расположенных на территории </w:t>
      </w:r>
      <w:r w:rsidRPr="002521D0">
        <w:rPr>
          <w:rFonts w:ascii="Times New Roman" w:hAnsi="Times New Roman" w:cs="Times New Roman"/>
          <w:sz w:val="28"/>
          <w:szCs w:val="28"/>
        </w:rPr>
        <w:t xml:space="preserve">Республики Тыва, </w:t>
      </w:r>
      <w:r w:rsidR="00E44157" w:rsidRPr="002521D0">
        <w:rPr>
          <w:rFonts w:ascii="Times New Roman" w:eastAsia="Calibri" w:hAnsi="Times New Roman" w:cs="Times New Roman"/>
          <w:sz w:val="28"/>
          <w:szCs w:val="28"/>
        </w:rPr>
        <w:t>Пр</w:t>
      </w:r>
      <w:r w:rsidR="00E44157" w:rsidRPr="002521D0">
        <w:rPr>
          <w:rFonts w:ascii="Times New Roman" w:eastAsia="Calibri" w:hAnsi="Times New Roman" w:cs="Times New Roman"/>
          <w:sz w:val="28"/>
          <w:szCs w:val="28"/>
        </w:rPr>
        <w:t>а</w:t>
      </w:r>
      <w:r w:rsidR="00E44157" w:rsidRPr="002521D0">
        <w:rPr>
          <w:rFonts w:ascii="Times New Roman" w:eastAsia="Calibri" w:hAnsi="Times New Roman" w:cs="Times New Roman"/>
          <w:sz w:val="28"/>
          <w:szCs w:val="28"/>
        </w:rPr>
        <w:t xml:space="preserve">вительство Республики Тыва </w:t>
      </w:r>
      <w:r w:rsidR="00361873" w:rsidRPr="002521D0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B3C16" w:rsidRPr="002521D0" w:rsidRDefault="009B3C16" w:rsidP="002C6102">
      <w:pPr>
        <w:tabs>
          <w:tab w:val="left" w:pos="709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2E7" w:rsidRPr="002521D0" w:rsidRDefault="00B252E7" w:rsidP="002C6102">
      <w:pPr>
        <w:pStyle w:val="ad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line="360" w:lineRule="atLeast"/>
        <w:ind w:left="0" w:firstLine="709"/>
        <w:jc w:val="both"/>
      </w:pPr>
      <w:r w:rsidRPr="002521D0">
        <w:t>Утвердить предлагаемый Порядок предоставления субсидии</w:t>
      </w:r>
      <w:r w:rsidR="00AD6A95" w:rsidRPr="002521D0">
        <w:t xml:space="preserve"> юридич</w:t>
      </w:r>
      <w:r w:rsidR="00AD6A95" w:rsidRPr="002521D0">
        <w:t>е</w:t>
      </w:r>
      <w:r w:rsidR="00AD6A95" w:rsidRPr="002521D0">
        <w:t>ским лицам, 100 процентов акций (долей) которых принадлежит Республике Тыва</w:t>
      </w:r>
      <w:r w:rsidR="00A212BE">
        <w:t>,</w:t>
      </w:r>
      <w:r w:rsidRPr="002521D0">
        <w:t xml:space="preserve"> в целях возмещения части затрат на сохранение объектов культурного наследия, выявленных объектов культурного наследия, расположенных на те</w:t>
      </w:r>
      <w:r w:rsidRPr="002521D0">
        <w:t>р</w:t>
      </w:r>
      <w:r w:rsidRPr="002521D0">
        <w:t>ритории Республики Тыва.</w:t>
      </w:r>
    </w:p>
    <w:p w:rsidR="00D51C35" w:rsidRDefault="002C6102" w:rsidP="002C6102">
      <w:pPr>
        <w:pStyle w:val="ad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line="360" w:lineRule="atLeast"/>
        <w:ind w:left="0" w:firstLine="709"/>
        <w:jc w:val="both"/>
      </w:pPr>
      <w:r>
        <w:t>Настоящее постановление вступает в силу со дня вступления в силу изменений в сводной бюджетной росписи республиканского бюджета Респу</w:t>
      </w:r>
      <w:r>
        <w:t>б</w:t>
      </w:r>
      <w:r>
        <w:t>лики Тыва и лимитов бюджетных обязательств на соответствующий финанс</w:t>
      </w:r>
      <w:r>
        <w:t>о</w:t>
      </w:r>
      <w:r>
        <w:t xml:space="preserve">вый год и плановый период или закона Республики Тыва о внесении изменений в </w:t>
      </w:r>
      <w:r w:rsidR="00D51C35">
        <w:t xml:space="preserve"> </w:t>
      </w:r>
      <w:r>
        <w:t>закон о</w:t>
      </w:r>
      <w:r w:rsidR="00D51C35">
        <w:t xml:space="preserve"> </w:t>
      </w:r>
      <w:r>
        <w:t xml:space="preserve"> республиканском </w:t>
      </w:r>
      <w:r w:rsidR="00D51C35">
        <w:t xml:space="preserve"> </w:t>
      </w:r>
      <w:r>
        <w:t xml:space="preserve">бюджете </w:t>
      </w:r>
      <w:r w:rsidR="00D51C35">
        <w:t xml:space="preserve"> </w:t>
      </w:r>
      <w:r>
        <w:t xml:space="preserve">Республики </w:t>
      </w:r>
      <w:r w:rsidR="00D51C35">
        <w:t xml:space="preserve"> </w:t>
      </w:r>
      <w:r>
        <w:t xml:space="preserve">Тыва </w:t>
      </w:r>
      <w:r w:rsidR="00D51C35">
        <w:t xml:space="preserve"> </w:t>
      </w:r>
      <w:r>
        <w:t xml:space="preserve">на </w:t>
      </w:r>
      <w:r w:rsidR="00D51C35">
        <w:t xml:space="preserve"> </w:t>
      </w:r>
      <w:r>
        <w:t>соответству</w:t>
      </w:r>
      <w:r>
        <w:t>ю</w:t>
      </w:r>
      <w:r>
        <w:t xml:space="preserve">щий </w:t>
      </w:r>
    </w:p>
    <w:p w:rsidR="00D51C35" w:rsidRDefault="00D51C35" w:rsidP="00D51C35">
      <w:pPr>
        <w:pStyle w:val="ad"/>
        <w:tabs>
          <w:tab w:val="left" w:pos="709"/>
          <w:tab w:val="left" w:pos="851"/>
          <w:tab w:val="left" w:pos="993"/>
        </w:tabs>
        <w:spacing w:line="360" w:lineRule="atLeast"/>
        <w:jc w:val="both"/>
      </w:pPr>
    </w:p>
    <w:p w:rsidR="00D51C35" w:rsidRDefault="00D51C35" w:rsidP="00D51C35">
      <w:pPr>
        <w:pStyle w:val="ad"/>
        <w:tabs>
          <w:tab w:val="left" w:pos="709"/>
          <w:tab w:val="left" w:pos="851"/>
          <w:tab w:val="left" w:pos="993"/>
        </w:tabs>
        <w:spacing w:line="360" w:lineRule="atLeast"/>
        <w:jc w:val="both"/>
      </w:pPr>
    </w:p>
    <w:p w:rsidR="002C6102" w:rsidRPr="00BF3A5E" w:rsidRDefault="002C6102" w:rsidP="00D51C35">
      <w:pPr>
        <w:pStyle w:val="ad"/>
        <w:tabs>
          <w:tab w:val="left" w:pos="709"/>
          <w:tab w:val="left" w:pos="851"/>
          <w:tab w:val="left" w:pos="993"/>
        </w:tabs>
        <w:spacing w:line="360" w:lineRule="atLeast"/>
        <w:jc w:val="both"/>
      </w:pPr>
      <w:r>
        <w:lastRenderedPageBreak/>
        <w:t>финансовый год и плановый период, предусматривающих бюджетные ассигн</w:t>
      </w:r>
      <w:r>
        <w:t>о</w:t>
      </w:r>
      <w:r>
        <w:t>вания на предоставление из республиканского бюджета субсидии в целях во</w:t>
      </w:r>
      <w:r>
        <w:t>з</w:t>
      </w:r>
      <w:r>
        <w:t>мещения части затрат на сохранение объектов культурного наследия, выявле</w:t>
      </w:r>
      <w:r>
        <w:t>н</w:t>
      </w:r>
      <w:r>
        <w:t>ных объектов культурного наследия, расположенных на территории Республ</w:t>
      </w:r>
      <w:r>
        <w:t>и</w:t>
      </w:r>
      <w:r>
        <w:t>ки Тыва.</w:t>
      </w:r>
    </w:p>
    <w:p w:rsidR="00937B29" w:rsidRPr="002521D0" w:rsidRDefault="00937B29" w:rsidP="002C6102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1D0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постановление на </w:t>
      </w:r>
      <w:r w:rsidR="007E599D" w:rsidRPr="002521D0">
        <w:rPr>
          <w:rFonts w:ascii="Times New Roman" w:hAnsi="Times New Roman" w:cs="Times New Roman"/>
          <w:bCs/>
          <w:sz w:val="28"/>
          <w:szCs w:val="28"/>
        </w:rPr>
        <w:t>«О</w:t>
      </w:r>
      <w:r w:rsidRPr="002521D0">
        <w:rPr>
          <w:rFonts w:ascii="Times New Roman" w:hAnsi="Times New Roman" w:cs="Times New Roman"/>
          <w:bCs/>
          <w:sz w:val="28"/>
          <w:szCs w:val="28"/>
        </w:rPr>
        <w:t>фициальном интернет-портале правовой информации</w:t>
      </w:r>
      <w:r w:rsidR="007E599D" w:rsidRPr="002521D0">
        <w:rPr>
          <w:rFonts w:ascii="Times New Roman" w:hAnsi="Times New Roman" w:cs="Times New Roman"/>
          <w:bCs/>
          <w:sz w:val="28"/>
          <w:szCs w:val="28"/>
        </w:rPr>
        <w:t>»</w:t>
      </w:r>
      <w:r w:rsidRPr="002521D0">
        <w:rPr>
          <w:rFonts w:ascii="Times New Roman" w:hAnsi="Times New Roman" w:cs="Times New Roman"/>
          <w:bCs/>
          <w:sz w:val="28"/>
          <w:szCs w:val="28"/>
        </w:rPr>
        <w:t xml:space="preserve"> (www.pravo.gov.ru) и официальном сайте Ре</w:t>
      </w:r>
      <w:r w:rsidRPr="002521D0">
        <w:rPr>
          <w:rFonts w:ascii="Times New Roman" w:hAnsi="Times New Roman" w:cs="Times New Roman"/>
          <w:bCs/>
          <w:sz w:val="28"/>
          <w:szCs w:val="28"/>
        </w:rPr>
        <w:t>с</w:t>
      </w:r>
      <w:r w:rsidRPr="002521D0">
        <w:rPr>
          <w:rFonts w:ascii="Times New Roman" w:hAnsi="Times New Roman" w:cs="Times New Roman"/>
          <w:bCs/>
          <w:sz w:val="28"/>
          <w:szCs w:val="28"/>
        </w:rPr>
        <w:t>публики Тыва в информационно-телекоммуникационной сети «Интернет».</w:t>
      </w:r>
    </w:p>
    <w:p w:rsidR="00E44157" w:rsidRDefault="00E44157" w:rsidP="008730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F5F" w:rsidRPr="002521D0" w:rsidRDefault="00576F5F" w:rsidP="008730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157" w:rsidRPr="002521D0" w:rsidRDefault="00E44157" w:rsidP="008730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322D3A" w:rsidRPr="002521D0" w:rsidRDefault="00E44157" w:rsidP="00873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1D0">
        <w:rPr>
          <w:rFonts w:ascii="Times New Roman" w:eastAsia="Calibri" w:hAnsi="Times New Roman" w:cs="Times New Roman"/>
          <w:sz w:val="28"/>
          <w:szCs w:val="28"/>
        </w:rPr>
        <w:t xml:space="preserve">Глава Республики Тыва                </w:t>
      </w:r>
      <w:r w:rsidR="00576F5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2521D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458CA" w:rsidRPr="002521D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521D0">
        <w:rPr>
          <w:rFonts w:ascii="Times New Roman" w:eastAsia="Calibri" w:hAnsi="Times New Roman" w:cs="Times New Roman"/>
          <w:sz w:val="28"/>
          <w:szCs w:val="28"/>
        </w:rPr>
        <w:t xml:space="preserve">            В. Ховалыг</w:t>
      </w:r>
    </w:p>
    <w:p w:rsidR="00576F5F" w:rsidRDefault="00576F5F" w:rsidP="00873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76F5F" w:rsidSect="008730BF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B252E7" w:rsidRPr="002521D0" w:rsidRDefault="00576F5F" w:rsidP="008730BF">
      <w:pPr>
        <w:pStyle w:val="ad"/>
        <w:ind w:left="5812"/>
        <w:jc w:val="center"/>
      </w:pPr>
      <w:r w:rsidRPr="002521D0">
        <w:lastRenderedPageBreak/>
        <w:t>Утвержден</w:t>
      </w:r>
    </w:p>
    <w:p w:rsidR="00B252E7" w:rsidRPr="002521D0" w:rsidRDefault="00B252E7" w:rsidP="008730BF">
      <w:pPr>
        <w:pStyle w:val="ad"/>
        <w:ind w:left="5812"/>
        <w:jc w:val="center"/>
      </w:pPr>
      <w:r w:rsidRPr="002521D0">
        <w:t>постановлением Правительства</w:t>
      </w:r>
    </w:p>
    <w:p w:rsidR="00B252E7" w:rsidRPr="002521D0" w:rsidRDefault="00B252E7" w:rsidP="008730BF">
      <w:pPr>
        <w:pStyle w:val="ad"/>
        <w:ind w:left="5812"/>
        <w:jc w:val="center"/>
      </w:pPr>
      <w:r w:rsidRPr="002521D0">
        <w:t>Республики Тыва</w:t>
      </w:r>
    </w:p>
    <w:p w:rsidR="00110658" w:rsidRDefault="00110658" w:rsidP="00110658">
      <w:pPr>
        <w:pStyle w:val="ConsPlusTitle"/>
        <w:widowControl/>
        <w:spacing w:line="360" w:lineRule="auto"/>
        <w:ind w:left="4956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от 17 января 2025 г. № 9</w:t>
      </w:r>
    </w:p>
    <w:p w:rsidR="00576F5F" w:rsidRPr="002521D0" w:rsidRDefault="00576F5F" w:rsidP="008730BF">
      <w:pPr>
        <w:pStyle w:val="ad"/>
        <w:ind w:left="5812"/>
        <w:jc w:val="center"/>
      </w:pPr>
    </w:p>
    <w:p w:rsidR="00B252E7" w:rsidRPr="002521D0" w:rsidRDefault="00B252E7" w:rsidP="008730BF">
      <w:pPr>
        <w:pStyle w:val="ad"/>
        <w:jc w:val="center"/>
        <w:rPr>
          <w:b/>
          <w:bCs/>
        </w:rPr>
      </w:pPr>
      <w:r w:rsidRPr="002521D0">
        <w:rPr>
          <w:b/>
          <w:bCs/>
        </w:rPr>
        <w:t>П</w:t>
      </w:r>
      <w:r w:rsidR="00576F5F">
        <w:rPr>
          <w:b/>
          <w:bCs/>
        </w:rPr>
        <w:t xml:space="preserve"> </w:t>
      </w:r>
      <w:r w:rsidRPr="002521D0">
        <w:rPr>
          <w:b/>
          <w:bCs/>
        </w:rPr>
        <w:t>О</w:t>
      </w:r>
      <w:r w:rsidR="00576F5F">
        <w:rPr>
          <w:b/>
          <w:bCs/>
        </w:rPr>
        <w:t xml:space="preserve"> </w:t>
      </w:r>
      <w:r w:rsidRPr="002521D0">
        <w:rPr>
          <w:b/>
          <w:bCs/>
        </w:rPr>
        <w:t>Р</w:t>
      </w:r>
      <w:r w:rsidR="00576F5F">
        <w:rPr>
          <w:b/>
          <w:bCs/>
        </w:rPr>
        <w:t xml:space="preserve"> </w:t>
      </w:r>
      <w:r w:rsidRPr="002521D0">
        <w:rPr>
          <w:b/>
          <w:bCs/>
        </w:rPr>
        <w:t>Я</w:t>
      </w:r>
      <w:r w:rsidR="00576F5F">
        <w:rPr>
          <w:b/>
          <w:bCs/>
        </w:rPr>
        <w:t xml:space="preserve"> </w:t>
      </w:r>
      <w:r w:rsidRPr="002521D0">
        <w:rPr>
          <w:b/>
          <w:bCs/>
        </w:rPr>
        <w:t>Д</w:t>
      </w:r>
      <w:r w:rsidR="00576F5F">
        <w:rPr>
          <w:b/>
          <w:bCs/>
        </w:rPr>
        <w:t xml:space="preserve"> </w:t>
      </w:r>
      <w:r w:rsidRPr="002521D0">
        <w:rPr>
          <w:b/>
          <w:bCs/>
        </w:rPr>
        <w:t>О</w:t>
      </w:r>
      <w:r w:rsidR="00576F5F">
        <w:rPr>
          <w:b/>
          <w:bCs/>
        </w:rPr>
        <w:t xml:space="preserve"> </w:t>
      </w:r>
      <w:r w:rsidRPr="002521D0">
        <w:rPr>
          <w:b/>
          <w:bCs/>
        </w:rPr>
        <w:t>К</w:t>
      </w:r>
    </w:p>
    <w:p w:rsidR="00576F5F" w:rsidRDefault="00576F5F" w:rsidP="008730BF">
      <w:pPr>
        <w:pStyle w:val="ad"/>
        <w:jc w:val="center"/>
      </w:pPr>
      <w:r w:rsidRPr="00576F5F">
        <w:rPr>
          <w:bCs/>
        </w:rPr>
        <w:t xml:space="preserve">предоставления субсидии </w:t>
      </w:r>
      <w:r w:rsidRPr="00576F5F">
        <w:t xml:space="preserve">юридическим лицам, </w:t>
      </w:r>
    </w:p>
    <w:p w:rsidR="00576F5F" w:rsidRDefault="00576F5F" w:rsidP="008730BF">
      <w:pPr>
        <w:pStyle w:val="ad"/>
        <w:jc w:val="center"/>
      </w:pPr>
      <w:r w:rsidRPr="00576F5F">
        <w:t xml:space="preserve">100 процентов акций (долей) которых принадлежит </w:t>
      </w:r>
    </w:p>
    <w:p w:rsidR="00576F5F" w:rsidRDefault="00576F5F" w:rsidP="008730BF">
      <w:pPr>
        <w:pStyle w:val="ad"/>
        <w:jc w:val="center"/>
        <w:rPr>
          <w:bCs/>
        </w:rPr>
      </w:pPr>
      <w:r>
        <w:t>Р</w:t>
      </w:r>
      <w:r w:rsidRPr="00576F5F">
        <w:t xml:space="preserve">еспублике </w:t>
      </w:r>
      <w:r>
        <w:t>Т</w:t>
      </w:r>
      <w:r w:rsidRPr="00576F5F">
        <w:t>ыва</w:t>
      </w:r>
      <w:r w:rsidR="00A212BE">
        <w:t>,</w:t>
      </w:r>
      <w:r w:rsidRPr="00576F5F">
        <w:t xml:space="preserve"> </w:t>
      </w:r>
      <w:r w:rsidRPr="00576F5F">
        <w:rPr>
          <w:bCs/>
        </w:rPr>
        <w:t>в целях возмещения</w:t>
      </w:r>
      <w:r>
        <w:rPr>
          <w:bCs/>
        </w:rPr>
        <w:t xml:space="preserve"> </w:t>
      </w:r>
      <w:r w:rsidRPr="00576F5F">
        <w:rPr>
          <w:bCs/>
        </w:rPr>
        <w:t xml:space="preserve">части затрат </w:t>
      </w:r>
    </w:p>
    <w:p w:rsidR="00576F5F" w:rsidRDefault="00576F5F" w:rsidP="008730BF">
      <w:pPr>
        <w:pStyle w:val="ad"/>
        <w:jc w:val="center"/>
        <w:rPr>
          <w:bCs/>
        </w:rPr>
      </w:pPr>
      <w:r w:rsidRPr="00576F5F">
        <w:rPr>
          <w:bCs/>
        </w:rPr>
        <w:t>на сохранение объектов культурного</w:t>
      </w:r>
      <w:r>
        <w:rPr>
          <w:bCs/>
        </w:rPr>
        <w:t xml:space="preserve"> </w:t>
      </w:r>
      <w:r w:rsidRPr="00576F5F">
        <w:rPr>
          <w:bCs/>
        </w:rPr>
        <w:t>наследия,</w:t>
      </w:r>
    </w:p>
    <w:p w:rsidR="00576F5F" w:rsidRDefault="00576F5F" w:rsidP="008730BF">
      <w:pPr>
        <w:pStyle w:val="ad"/>
        <w:jc w:val="center"/>
        <w:rPr>
          <w:bCs/>
        </w:rPr>
      </w:pPr>
      <w:r w:rsidRPr="00576F5F">
        <w:rPr>
          <w:bCs/>
        </w:rPr>
        <w:t xml:space="preserve"> выявленных объектов культурного</w:t>
      </w:r>
      <w:r>
        <w:rPr>
          <w:bCs/>
        </w:rPr>
        <w:t xml:space="preserve"> </w:t>
      </w:r>
      <w:r w:rsidRPr="00576F5F">
        <w:rPr>
          <w:bCs/>
        </w:rPr>
        <w:t xml:space="preserve">наследия, </w:t>
      </w:r>
    </w:p>
    <w:p w:rsidR="00B252E7" w:rsidRPr="00576F5F" w:rsidRDefault="00576F5F" w:rsidP="008730BF">
      <w:pPr>
        <w:pStyle w:val="ad"/>
        <w:jc w:val="center"/>
        <w:rPr>
          <w:bCs/>
        </w:rPr>
      </w:pPr>
      <w:r w:rsidRPr="00576F5F">
        <w:rPr>
          <w:bCs/>
        </w:rPr>
        <w:t>расположенных на территории</w:t>
      </w:r>
      <w:r>
        <w:rPr>
          <w:bCs/>
        </w:rPr>
        <w:t xml:space="preserve"> Р</w:t>
      </w:r>
      <w:r w:rsidRPr="00576F5F">
        <w:rPr>
          <w:bCs/>
        </w:rPr>
        <w:t xml:space="preserve">еспублики </w:t>
      </w:r>
      <w:r>
        <w:rPr>
          <w:bCs/>
        </w:rPr>
        <w:t>Т</w:t>
      </w:r>
      <w:r w:rsidRPr="00576F5F">
        <w:rPr>
          <w:bCs/>
        </w:rPr>
        <w:t>ыва</w:t>
      </w:r>
    </w:p>
    <w:p w:rsidR="00B252E7" w:rsidRPr="00576F5F" w:rsidRDefault="00B252E7" w:rsidP="008730BF">
      <w:pPr>
        <w:pStyle w:val="ad"/>
        <w:jc w:val="center"/>
        <w:rPr>
          <w:bCs/>
        </w:rPr>
      </w:pPr>
    </w:p>
    <w:p w:rsidR="00B252E7" w:rsidRPr="00576F5F" w:rsidRDefault="00B252E7" w:rsidP="008730BF">
      <w:pPr>
        <w:pStyle w:val="ad"/>
        <w:jc w:val="center"/>
      </w:pPr>
      <w:r w:rsidRPr="00576F5F">
        <w:rPr>
          <w:bCs/>
        </w:rPr>
        <w:t>1. Общие положения</w:t>
      </w:r>
    </w:p>
    <w:p w:rsidR="00B252E7" w:rsidRPr="00576F5F" w:rsidRDefault="00B252E7" w:rsidP="008730BF">
      <w:pPr>
        <w:pStyle w:val="ad"/>
        <w:jc w:val="center"/>
      </w:pPr>
    </w:p>
    <w:p w:rsidR="00B252E7" w:rsidRPr="00576F5F" w:rsidRDefault="00B252E7" w:rsidP="008730BF">
      <w:pPr>
        <w:pStyle w:val="ad"/>
        <w:ind w:firstLine="709"/>
        <w:jc w:val="both"/>
      </w:pPr>
      <w:r w:rsidRPr="00576F5F">
        <w:t>1.1. Настоящий Порядок регулирует предоставление субсидии</w:t>
      </w:r>
      <w:r w:rsidR="00C87034" w:rsidRPr="00576F5F">
        <w:t xml:space="preserve"> юридич</w:t>
      </w:r>
      <w:r w:rsidR="00C87034" w:rsidRPr="00576F5F">
        <w:t>е</w:t>
      </w:r>
      <w:r w:rsidR="00C87034" w:rsidRPr="00576F5F">
        <w:t xml:space="preserve">ским лицам, 100 процентов акций (долей) которых принадлежит Республике Тыва, </w:t>
      </w:r>
      <w:r w:rsidRPr="00576F5F">
        <w:t>в целях возмещения части затрат на сохранение объектов культурного наследия, выявленных объектов культурного наследия, расположенных на те</w:t>
      </w:r>
      <w:r w:rsidRPr="00576F5F">
        <w:t>р</w:t>
      </w:r>
      <w:r w:rsidRPr="00576F5F">
        <w:t xml:space="preserve">ритории Республики Тыва (далее </w:t>
      </w:r>
      <w:r w:rsidR="00576F5F">
        <w:t>–</w:t>
      </w:r>
      <w:r w:rsidRPr="00576F5F">
        <w:t xml:space="preserve"> субсидия), и содержит общие положения о предоставлении субсидии, порядок проведения отбора получателей субсидии для предоставления субсидий (далее </w:t>
      </w:r>
      <w:r w:rsidR="00576F5F">
        <w:t>–</w:t>
      </w:r>
      <w:r w:rsidRPr="00576F5F">
        <w:t xml:space="preserve"> отбор), условия и порядок предоставл</w:t>
      </w:r>
      <w:r w:rsidRPr="00576F5F">
        <w:t>е</w:t>
      </w:r>
      <w:r w:rsidRPr="00576F5F">
        <w:t>ния субсидии, требования к отчетности, а также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1.2. В целях настоящего Порядка используются следующие понятия: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объекты культурного наследия </w:t>
      </w:r>
      <w:r w:rsidR="00576F5F">
        <w:t>–</w:t>
      </w:r>
      <w:r w:rsidRPr="00576F5F">
        <w:t xml:space="preserve"> объекты культурного наследия (памя</w:t>
      </w:r>
      <w:r w:rsidRPr="00576F5F">
        <w:t>т</w:t>
      </w:r>
      <w:r w:rsidRPr="00576F5F">
        <w:t>ники истории и культуры) народов Российской Федерации регионального либо муниципального (местного) значения, расположенные на территории Респу</w:t>
      </w:r>
      <w:r w:rsidRPr="00576F5F">
        <w:t>б</w:t>
      </w:r>
      <w:r w:rsidRPr="00576F5F">
        <w:t>лики Тыва и включенные в установленном порядке в единый государственный реестр объектов культурного наследия (памятников истории и культуры) нар</w:t>
      </w:r>
      <w:r w:rsidRPr="00576F5F">
        <w:t>о</w:t>
      </w:r>
      <w:r w:rsidRPr="00576F5F">
        <w:t xml:space="preserve">дов Российской Федерации в качестве объектов культурного наследия (далее </w:t>
      </w:r>
      <w:r w:rsidR="00576F5F">
        <w:t>–</w:t>
      </w:r>
      <w:r w:rsidRPr="00576F5F">
        <w:t xml:space="preserve"> объекты культурного наследия);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выявленные объекты культурного наследия </w:t>
      </w:r>
      <w:r w:rsidR="009378F9">
        <w:t xml:space="preserve">– </w:t>
      </w:r>
      <w:r w:rsidRPr="00576F5F">
        <w:t xml:space="preserve">объекты недвижимого имущества (здания, сооружения), расположенные на территории Республики Тыва и включенные Службой по лицензированию и надзору отдельных видов деятельности Республики Тыва в перечень выявленных объектов культурного наследия (далее </w:t>
      </w:r>
      <w:r w:rsidR="009378F9">
        <w:t>–</w:t>
      </w:r>
      <w:r w:rsidRPr="00576F5F">
        <w:t xml:space="preserve"> выявленные объекты культурного наследия).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1.3. </w:t>
      </w:r>
      <w:r w:rsidR="00AD6A95" w:rsidRPr="00576F5F">
        <w:t>Юридические лица, 100 процентов акций (долей) которых принадл</w:t>
      </w:r>
      <w:r w:rsidR="00AD6A95" w:rsidRPr="00576F5F">
        <w:t>е</w:t>
      </w:r>
      <w:r w:rsidR="00AD6A95" w:rsidRPr="00576F5F">
        <w:t>жит Республике Тыва</w:t>
      </w:r>
      <w:r w:rsidR="00A212BE">
        <w:t>,</w:t>
      </w:r>
      <w:r w:rsidR="00AD6A95" w:rsidRPr="00576F5F">
        <w:t xml:space="preserve"> </w:t>
      </w:r>
      <w:r w:rsidR="009378F9">
        <w:t>–</w:t>
      </w:r>
      <w:r w:rsidR="00C87034" w:rsidRPr="00576F5F">
        <w:t xml:space="preserve"> получатели субсидии </w:t>
      </w:r>
      <w:r w:rsidR="00AD6A95" w:rsidRPr="00576F5F">
        <w:t>(далее – юридические лица);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1.4. Субсидия предоставляется </w:t>
      </w:r>
      <w:r w:rsidR="00C06605" w:rsidRPr="00576F5F">
        <w:rPr>
          <w:rFonts w:eastAsia="Calibri"/>
        </w:rPr>
        <w:t>Министерством земельных и имуществе</w:t>
      </w:r>
      <w:r w:rsidR="00C06605" w:rsidRPr="00576F5F">
        <w:rPr>
          <w:rFonts w:eastAsia="Calibri"/>
        </w:rPr>
        <w:t>н</w:t>
      </w:r>
      <w:r w:rsidR="00C06605" w:rsidRPr="00576F5F">
        <w:rPr>
          <w:rFonts w:eastAsia="Calibri"/>
        </w:rPr>
        <w:t xml:space="preserve">ных отношений Республики Тыва </w:t>
      </w:r>
      <w:r w:rsidRPr="00576F5F">
        <w:t xml:space="preserve">(далее </w:t>
      </w:r>
      <w:r w:rsidR="009378F9">
        <w:t>–</w:t>
      </w:r>
      <w:r w:rsidRPr="00576F5F">
        <w:t xml:space="preserve"> </w:t>
      </w:r>
      <w:r w:rsidR="00C06605" w:rsidRPr="00576F5F">
        <w:t>Министерство</w:t>
      </w:r>
      <w:r w:rsidRPr="00576F5F">
        <w:t>), осуществляющим функции главного распорядителя бюджетных средств, до которого в соотве</w:t>
      </w:r>
      <w:r w:rsidRPr="00576F5F">
        <w:t>т</w:t>
      </w:r>
      <w:r w:rsidRPr="00576F5F">
        <w:t xml:space="preserve">ствии с бюджетным законодательством Российской Федерации как получателя </w:t>
      </w:r>
      <w:r w:rsidRPr="00576F5F">
        <w:lastRenderedPageBreak/>
        <w:t xml:space="preserve">бюджетных средств доведены в установленном порядке лимиты бюджетных обязательств на соответствующий финансовый год на цель, установленную в пункте 1.1 настоящего Порядка (далее </w:t>
      </w:r>
      <w:r w:rsidR="009378F9">
        <w:t>–</w:t>
      </w:r>
      <w:r w:rsidRPr="00576F5F">
        <w:t xml:space="preserve"> лимиты бюджетных обязательств на предоставление субсидии).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1.5. Право на получение субсидии имеют юридические лица, </w:t>
      </w:r>
      <w:r w:rsidR="00C87034" w:rsidRPr="00576F5F">
        <w:t>100 проце</w:t>
      </w:r>
      <w:r w:rsidR="00C87034" w:rsidRPr="00576F5F">
        <w:t>н</w:t>
      </w:r>
      <w:r w:rsidR="00C87034" w:rsidRPr="00576F5F">
        <w:t xml:space="preserve">тов акций (долей) которых принадлежит Республике Тыва, </w:t>
      </w:r>
      <w:r w:rsidRPr="00576F5F">
        <w:t>являющиеся со</w:t>
      </w:r>
      <w:r w:rsidRPr="00576F5F">
        <w:t>б</w:t>
      </w:r>
      <w:r w:rsidRPr="00576F5F">
        <w:t>ственниками объектов культурного наследия, выявленных объектов культурн</w:t>
      </w:r>
      <w:r w:rsidRPr="00576F5F">
        <w:t>о</w:t>
      </w:r>
      <w:r w:rsidRPr="00576F5F">
        <w:t xml:space="preserve">го наследия, наделенные Федеральным законом от 25 июня 2002 г. № 73-ФЗ «Об объектах культурного наследия (памятниках истории и культуры) народов Российской Федерации» (далее </w:t>
      </w:r>
      <w:r w:rsidR="009378F9">
        <w:t>–</w:t>
      </w:r>
      <w:r w:rsidRPr="00576F5F">
        <w:t xml:space="preserve"> Федеральный закон) обязанностями по сохр</w:t>
      </w:r>
      <w:r w:rsidRPr="00576F5F">
        <w:t>а</w:t>
      </w:r>
      <w:r w:rsidRPr="00576F5F">
        <w:t>нению указанных объектов культурного наследия.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1.6. Получатели субсидии определяются по результатам отбора, способом проведения которого является запрос предложений, исходя из соответствия к</w:t>
      </w:r>
      <w:r w:rsidRPr="00576F5F">
        <w:t>а</w:t>
      </w:r>
      <w:r w:rsidRPr="00576F5F">
        <w:t>тегории, указанной в пункте 1.5 настоящего Порядка, и очередности поступл</w:t>
      </w:r>
      <w:r w:rsidRPr="00576F5F">
        <w:t>е</w:t>
      </w:r>
      <w:r w:rsidRPr="00576F5F">
        <w:t>ния заявок на участие в отборе.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1.7. Сведения о субсидии размещаются на едином портале бюджетной с</w:t>
      </w:r>
      <w:r w:rsidRPr="00576F5F">
        <w:t>и</w:t>
      </w:r>
      <w:r w:rsidRPr="00576F5F">
        <w:t xml:space="preserve">стемы Российской Федерации в информационно-телекоммуникационной сети «Интернет» в разделе «Бюджет» (далее </w:t>
      </w:r>
      <w:r w:rsidR="009378F9">
        <w:t>–</w:t>
      </w:r>
      <w:r w:rsidRPr="00576F5F">
        <w:t xml:space="preserve"> единый портал) при формировании закона Республики Тыва о республиканском бюджете на очередной финанс</w:t>
      </w:r>
      <w:r w:rsidRPr="00576F5F">
        <w:t>о</w:t>
      </w:r>
      <w:r w:rsidRPr="00576F5F">
        <w:t>вый год и плановый период (проекта закона Республики Тыва о внесении изм</w:t>
      </w:r>
      <w:r w:rsidRPr="00576F5F">
        <w:t>е</w:t>
      </w:r>
      <w:r w:rsidRPr="00576F5F">
        <w:t>нений в закон Республики Тыва о республиканском бюджете на текущий ф</w:t>
      </w:r>
      <w:r w:rsidRPr="00576F5F">
        <w:t>и</w:t>
      </w:r>
      <w:r w:rsidRPr="00576F5F">
        <w:t>нансовый год и плановый период).</w:t>
      </w:r>
    </w:p>
    <w:p w:rsidR="00B252E7" w:rsidRPr="00576F5F" w:rsidRDefault="00B252E7" w:rsidP="008730BF">
      <w:pPr>
        <w:pStyle w:val="ad"/>
        <w:jc w:val="center"/>
      </w:pPr>
    </w:p>
    <w:p w:rsidR="00B252E7" w:rsidRPr="00576F5F" w:rsidRDefault="00B252E7" w:rsidP="008730BF">
      <w:pPr>
        <w:pStyle w:val="ad"/>
        <w:jc w:val="center"/>
      </w:pPr>
      <w:r w:rsidRPr="00576F5F">
        <w:rPr>
          <w:bCs/>
        </w:rPr>
        <w:t>2. Порядок проведения отбора</w:t>
      </w:r>
    </w:p>
    <w:p w:rsidR="00B252E7" w:rsidRPr="00576F5F" w:rsidRDefault="00B252E7" w:rsidP="008730BF">
      <w:pPr>
        <w:pStyle w:val="ad"/>
        <w:jc w:val="center"/>
      </w:pPr>
    </w:p>
    <w:p w:rsidR="00B252E7" w:rsidRPr="00576F5F" w:rsidRDefault="00B252E7" w:rsidP="008730BF">
      <w:pPr>
        <w:pStyle w:val="ad"/>
        <w:ind w:firstLine="709"/>
        <w:jc w:val="both"/>
      </w:pPr>
      <w:r w:rsidRPr="00576F5F">
        <w:t>2.1. Отбор проводится не реже 1 раза в год при наличии лимитов бю</w:t>
      </w:r>
      <w:r w:rsidRPr="00576F5F">
        <w:t>д</w:t>
      </w:r>
      <w:r w:rsidRPr="00576F5F">
        <w:t>жетных обязательств на предоставление субсидии.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Организатором отбора выступает </w:t>
      </w:r>
      <w:r w:rsidR="00C87034" w:rsidRPr="00576F5F">
        <w:t>Министерство</w:t>
      </w:r>
      <w:r w:rsidRPr="00576F5F">
        <w:t>.</w:t>
      </w:r>
    </w:p>
    <w:p w:rsidR="00B252E7" w:rsidRPr="009378F9" w:rsidRDefault="00B252E7" w:rsidP="008730BF">
      <w:pPr>
        <w:pStyle w:val="ad"/>
        <w:ind w:firstLine="709"/>
        <w:jc w:val="both"/>
        <w:rPr>
          <w:color w:val="auto"/>
        </w:rPr>
      </w:pPr>
      <w:r w:rsidRPr="00576F5F">
        <w:t xml:space="preserve">Участниками отбора являются лица, указанные в пункте 1.5 настоящего Порядка, </w:t>
      </w:r>
      <w:r w:rsidRPr="009378F9">
        <w:rPr>
          <w:color w:val="auto"/>
        </w:rPr>
        <w:t xml:space="preserve">подавшие заявки на участие в отборе (далее </w:t>
      </w:r>
      <w:r w:rsidR="009378F9">
        <w:rPr>
          <w:color w:val="auto"/>
        </w:rPr>
        <w:t>–</w:t>
      </w:r>
      <w:r w:rsidRPr="009378F9">
        <w:rPr>
          <w:color w:val="auto"/>
        </w:rPr>
        <w:t xml:space="preserve"> заявка).</w:t>
      </w:r>
    </w:p>
    <w:p w:rsidR="00B252E7" w:rsidRPr="009378F9" w:rsidRDefault="00B252E7" w:rsidP="008730BF">
      <w:pPr>
        <w:pStyle w:val="ad"/>
        <w:ind w:firstLine="709"/>
        <w:jc w:val="both"/>
        <w:rPr>
          <w:color w:val="auto"/>
        </w:rPr>
      </w:pPr>
      <w:r w:rsidRPr="009378F9">
        <w:rPr>
          <w:color w:val="auto"/>
        </w:rPr>
        <w:t xml:space="preserve">2.2. В целях проведения отбора </w:t>
      </w:r>
      <w:r w:rsidR="00C87034" w:rsidRPr="009378F9">
        <w:rPr>
          <w:color w:val="auto"/>
        </w:rPr>
        <w:t>Министерство</w:t>
      </w:r>
      <w:r w:rsidRPr="009378F9">
        <w:rPr>
          <w:color w:val="auto"/>
        </w:rPr>
        <w:t>:</w:t>
      </w:r>
    </w:p>
    <w:p w:rsidR="00B252E7" w:rsidRPr="009378F9" w:rsidRDefault="00A212BE" w:rsidP="008730BF">
      <w:pPr>
        <w:pStyle w:val="ad"/>
        <w:ind w:firstLine="709"/>
        <w:jc w:val="both"/>
        <w:rPr>
          <w:color w:val="auto"/>
        </w:rPr>
      </w:pPr>
      <w:r>
        <w:rPr>
          <w:color w:val="auto"/>
        </w:rPr>
        <w:t>2.2.1. п</w:t>
      </w:r>
      <w:r w:rsidR="00B252E7" w:rsidRPr="009378F9">
        <w:rPr>
          <w:color w:val="auto"/>
        </w:rPr>
        <w:t>риним</w:t>
      </w:r>
      <w:r>
        <w:rPr>
          <w:color w:val="auto"/>
        </w:rPr>
        <w:t>ает решение о проведении отбора;</w:t>
      </w:r>
    </w:p>
    <w:p w:rsidR="00B252E7" w:rsidRPr="00576F5F" w:rsidRDefault="00B252E7" w:rsidP="008730BF">
      <w:pPr>
        <w:pStyle w:val="ad"/>
        <w:ind w:firstLine="709"/>
        <w:jc w:val="both"/>
      </w:pPr>
      <w:r w:rsidRPr="009378F9">
        <w:rPr>
          <w:color w:val="auto"/>
        </w:rPr>
        <w:t>2.2</w:t>
      </w:r>
      <w:r w:rsidR="00A212BE">
        <w:rPr>
          <w:color w:val="auto"/>
        </w:rPr>
        <w:t>.2. н</w:t>
      </w:r>
      <w:r w:rsidRPr="009378F9">
        <w:rPr>
          <w:color w:val="auto"/>
        </w:rPr>
        <w:t>е менее чем за 31 календарный день до истечения срока подачи з</w:t>
      </w:r>
      <w:r w:rsidRPr="009378F9">
        <w:rPr>
          <w:color w:val="auto"/>
        </w:rPr>
        <w:t>а</w:t>
      </w:r>
      <w:r w:rsidRPr="009378F9">
        <w:rPr>
          <w:color w:val="auto"/>
        </w:rPr>
        <w:t xml:space="preserve">явок размещает на едином портале, а также на официальном сайте </w:t>
      </w:r>
      <w:r w:rsidR="00C87034" w:rsidRPr="009378F9">
        <w:rPr>
          <w:color w:val="auto"/>
        </w:rPr>
        <w:t>Министе</w:t>
      </w:r>
      <w:r w:rsidR="00C87034" w:rsidRPr="009378F9">
        <w:rPr>
          <w:color w:val="auto"/>
        </w:rPr>
        <w:t>р</w:t>
      </w:r>
      <w:r w:rsidR="00C87034" w:rsidRPr="009378F9">
        <w:rPr>
          <w:color w:val="auto"/>
        </w:rPr>
        <w:t xml:space="preserve">ство </w:t>
      </w:r>
      <w:hyperlink r:id="rId10" w:history="1">
        <w:r w:rsidR="00C87034" w:rsidRPr="009378F9">
          <w:rPr>
            <w:rStyle w:val="a8"/>
            <w:color w:val="auto"/>
            <w:u w:val="none"/>
          </w:rPr>
          <w:t>https://minzem.rtyva.ru/</w:t>
        </w:r>
      </w:hyperlink>
      <w:r w:rsidR="00C87034" w:rsidRPr="009378F9">
        <w:rPr>
          <w:color w:val="auto"/>
        </w:rPr>
        <w:t xml:space="preserve"> </w:t>
      </w:r>
      <w:r w:rsidRPr="009378F9">
        <w:rPr>
          <w:color w:val="auto"/>
        </w:rPr>
        <w:t xml:space="preserve">в информационно-телекоммуникационной сети «Интернет» (далее </w:t>
      </w:r>
      <w:r w:rsidR="009378F9">
        <w:rPr>
          <w:color w:val="auto"/>
        </w:rPr>
        <w:t>–</w:t>
      </w:r>
      <w:r w:rsidRPr="009378F9">
        <w:rPr>
          <w:color w:val="auto"/>
        </w:rPr>
        <w:t xml:space="preserve"> официальный сайт </w:t>
      </w:r>
      <w:r w:rsidR="00664050" w:rsidRPr="009378F9">
        <w:rPr>
          <w:color w:val="auto"/>
        </w:rPr>
        <w:t>Министерства</w:t>
      </w:r>
      <w:r w:rsidRPr="009378F9">
        <w:rPr>
          <w:color w:val="auto"/>
        </w:rPr>
        <w:t>) объявление о провед</w:t>
      </w:r>
      <w:r w:rsidRPr="009378F9">
        <w:rPr>
          <w:color w:val="auto"/>
        </w:rPr>
        <w:t>е</w:t>
      </w:r>
      <w:r w:rsidRPr="009378F9">
        <w:rPr>
          <w:color w:val="auto"/>
        </w:rPr>
        <w:t xml:space="preserve">нии отбора (далее </w:t>
      </w:r>
      <w:r w:rsidR="009378F9">
        <w:rPr>
          <w:color w:val="auto"/>
        </w:rPr>
        <w:t>–</w:t>
      </w:r>
      <w:r w:rsidRPr="009378F9">
        <w:rPr>
          <w:color w:val="auto"/>
        </w:rPr>
        <w:t xml:space="preserve"> объявление</w:t>
      </w:r>
      <w:r w:rsidRPr="00576F5F">
        <w:t>) с указанием: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сроков проведения отбора;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даты начала подачи или окончания приема заявок, которая не может быть ранее 30-го календарного дня, следующего за днем размещения объявления;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наименования, места нахождения, почтового адреса, адреса электронной почты </w:t>
      </w:r>
      <w:r w:rsidR="00C87034" w:rsidRPr="00576F5F">
        <w:t>Министерства</w:t>
      </w:r>
      <w:r w:rsidRPr="00576F5F">
        <w:t>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результата предоставления субсидии в соответствии с пунктом 3.7 наст</w:t>
      </w:r>
      <w:r w:rsidRPr="00576F5F">
        <w:t>о</w:t>
      </w:r>
      <w:r w:rsidRPr="00576F5F">
        <w:t>ящего Порядка;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доменного имени, и (или) сетевого адреса, и (или) указатели страниц са</w:t>
      </w:r>
      <w:r w:rsidRPr="00576F5F">
        <w:t>й</w:t>
      </w:r>
      <w:r w:rsidRPr="00576F5F">
        <w:lastRenderedPageBreak/>
        <w:t>та в информационно-телекоммуникационной сети «Интернет», на котором обеспечивается проведение отбора;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требований к участникам отбора в соответствии с пунктом 2.3 настоящ</w:t>
      </w:r>
      <w:r w:rsidRPr="00576F5F">
        <w:t>е</w:t>
      </w:r>
      <w:r w:rsidRPr="00576F5F">
        <w:t>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порядка подачи участниками отбора заявок и требований, предъявляемых к форме и содержанию указанных заявок, подаваемых участником отбора, в с</w:t>
      </w:r>
      <w:r w:rsidRPr="00576F5F">
        <w:t>о</w:t>
      </w:r>
      <w:r w:rsidRPr="00576F5F">
        <w:t>ответствии с пунктом 2.4 настоящего Порядка;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порядка отзыва участниками отбора заявок, порядка возврата участникам отбора заявок, определяющего в том числе основания для возврата заявок, п</w:t>
      </w:r>
      <w:r w:rsidRPr="00576F5F">
        <w:t>о</w:t>
      </w:r>
      <w:r w:rsidRPr="00576F5F">
        <w:t>рядка внесения участниками отбора изменений в заявки;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правил рассмотрения заявок в соответствии с пунктом 2.7 настоящего Порядка;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порядка предоставления участникам отбора разъяснений положений об</w:t>
      </w:r>
      <w:r w:rsidRPr="00576F5F">
        <w:t>ъ</w:t>
      </w:r>
      <w:r w:rsidRPr="00576F5F">
        <w:t>явления, даты начала и окончания срока такого предоставления;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срока, в течение которого победитель отбора должен подписать соглаш</w:t>
      </w:r>
      <w:r w:rsidRPr="00576F5F">
        <w:t>е</w:t>
      </w:r>
      <w:r w:rsidRPr="00576F5F">
        <w:t>ние о предоставлении субсидии;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условий признания победителя (победителей) отбора уклонившимся от заключения соглашения о предоставлении субсидии;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даты размещения результатов отбора на едином портале и на официал</w:t>
      </w:r>
      <w:r w:rsidRPr="00576F5F">
        <w:t>ь</w:t>
      </w:r>
      <w:r w:rsidRPr="00576F5F">
        <w:t xml:space="preserve">ном сайте </w:t>
      </w:r>
      <w:r w:rsidR="00C87034" w:rsidRPr="00576F5F">
        <w:t>Министерства</w:t>
      </w:r>
      <w:r w:rsidRPr="00576F5F">
        <w:t>, которая не может быть позднее 14-го календарного дня, следующего за дне</w:t>
      </w:r>
      <w:r w:rsidR="000677DA">
        <w:t>м определения победителя отбора;</w:t>
      </w:r>
    </w:p>
    <w:p w:rsidR="00B252E7" w:rsidRPr="00576F5F" w:rsidRDefault="000677DA" w:rsidP="008730BF">
      <w:pPr>
        <w:pStyle w:val="ad"/>
        <w:ind w:firstLine="709"/>
        <w:jc w:val="both"/>
      </w:pPr>
      <w:r>
        <w:t>2.2.3. ф</w:t>
      </w:r>
      <w:r w:rsidR="00B252E7" w:rsidRPr="00576F5F">
        <w:t>ормирует в соответствии с пунктом 2.8 настоящего Порядка к</w:t>
      </w:r>
      <w:r w:rsidR="00B252E7" w:rsidRPr="00576F5F">
        <w:t>о</w:t>
      </w:r>
      <w:r w:rsidR="00B252E7" w:rsidRPr="00576F5F">
        <w:t xml:space="preserve">миссию (далее </w:t>
      </w:r>
      <w:r w:rsidR="009378F9">
        <w:t>–</w:t>
      </w:r>
      <w:r w:rsidR="00B252E7" w:rsidRPr="00576F5F">
        <w:t xml:space="preserve"> Комиссия).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2.3. Требования к участникам отбора: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2.3.1. </w:t>
      </w:r>
      <w:r w:rsidR="000677DA">
        <w:t>у</w:t>
      </w:r>
      <w:r w:rsidRPr="00576F5F">
        <w:t>частник отбора</w:t>
      </w:r>
      <w:r w:rsidR="000677DA">
        <w:t xml:space="preserve"> по состоянию не ранее, чем на перво</w:t>
      </w:r>
      <w:r w:rsidRPr="00576F5F">
        <w:t>е число мес</w:t>
      </w:r>
      <w:r w:rsidRPr="00576F5F">
        <w:t>я</w:t>
      </w:r>
      <w:r w:rsidRPr="00576F5F">
        <w:t>ца подачи заявки, должен соответствовать следующим требованиям: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у участника отбора должна отсутствовать неисполненная обязанность по уплате налогов, сборов, страховых взносов, пеней, штрафов, процентов, подл</w:t>
      </w:r>
      <w:r w:rsidRPr="00576F5F">
        <w:t>е</w:t>
      </w:r>
      <w:r w:rsidRPr="00576F5F">
        <w:t>жащих уплате в соответствии с законодательством Российской Федерации о налогах и сборах;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у участника отбора должна отсутствовать просроченная задолженность по возврату в республиканский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Тыва;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участник отбора </w:t>
      </w:r>
      <w:r w:rsidR="009378F9">
        <w:t>–</w:t>
      </w:r>
      <w:r w:rsidRPr="00576F5F">
        <w:t xml:space="preserve"> юридическое лицо не должен находиться в процессе реорганизации (за исключением реорганизации в форме присоединения к юр</w:t>
      </w:r>
      <w:r w:rsidRPr="00576F5F">
        <w:t>и</w:t>
      </w:r>
      <w:r w:rsidRPr="00576F5F">
        <w:t>дическому лицу, являющемуся участником отбора, другого юридического л</w:t>
      </w:r>
      <w:r w:rsidRPr="00576F5F">
        <w:t>и</w:t>
      </w:r>
      <w:r w:rsidRPr="00576F5F">
        <w:t>ца), ликвидации, в отношении него не введена процедура банкротства, деятел</w:t>
      </w:r>
      <w:r w:rsidRPr="00576F5F">
        <w:t>ь</w:t>
      </w:r>
      <w:r w:rsidRPr="00576F5F">
        <w:t>ность участника отбора не приостановлена в порядке, предусмотренном зак</w:t>
      </w:r>
      <w:r w:rsidRPr="00576F5F">
        <w:t>о</w:t>
      </w:r>
      <w:r w:rsidRPr="00576F5F">
        <w:t>нодательством Российской Федерации</w:t>
      </w:r>
      <w:r w:rsidR="00C87034" w:rsidRPr="00576F5F">
        <w:t>.</w:t>
      </w:r>
      <w:r w:rsidRPr="00576F5F">
        <w:t xml:space="preserve"> 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2.3.2. Проведение работ по сохранению объекта культурного наследия, выявленного объекта культурного наследия в соответствии с Федеральным з</w:t>
      </w:r>
      <w:r w:rsidRPr="00576F5F">
        <w:t>а</w:t>
      </w:r>
      <w:r w:rsidRPr="00576F5F">
        <w:t>коном без изменения объемно-пространственных характеристик объекта кул</w:t>
      </w:r>
      <w:r w:rsidRPr="00576F5F">
        <w:t>ь</w:t>
      </w:r>
      <w:r w:rsidRPr="00576F5F">
        <w:lastRenderedPageBreak/>
        <w:t>турного наследия, выявленного объекта культурного наследия, в том числе с</w:t>
      </w:r>
      <w:r w:rsidRPr="00576F5F">
        <w:t>у</w:t>
      </w:r>
      <w:r w:rsidRPr="00576F5F">
        <w:t>ществующих параметров указанного объекта по высоте и площади.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2.3.3. Завершение работ по сохранению объекта культурного наследия, выявленного объекта культурного наследия в году, предшествующем году п</w:t>
      </w:r>
      <w:r w:rsidRPr="00576F5F">
        <w:t>о</w:t>
      </w:r>
      <w:r w:rsidRPr="00576F5F">
        <w:t>дачи заявки.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2.3.4. Наличие документов, подтверждающих выполнение работ по с</w:t>
      </w:r>
      <w:r w:rsidRPr="00576F5F">
        <w:t>о</w:t>
      </w:r>
      <w:r w:rsidRPr="00576F5F">
        <w:t>хранению объекта культурного наследия, выявленного объекта культурного наследия.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2.4. Требования, предъявляемые к форме и содержанию заявок.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2.4.1. Заявка должна содержать: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1) опись представленных в составе заявки документов;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2) заявление, составленное по форме, установленной </w:t>
      </w:r>
      <w:r w:rsidR="00664050" w:rsidRPr="00576F5F">
        <w:t>Министерством</w:t>
      </w:r>
      <w:r w:rsidRPr="00576F5F">
        <w:t>, с</w:t>
      </w:r>
      <w:r w:rsidRPr="00576F5F">
        <w:t>о</w:t>
      </w:r>
      <w:r w:rsidRPr="00576F5F">
        <w:t>держащее в том числе: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соответствующим отбором;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согласие на обработку персональных данных (для физических лиц, явл</w:t>
      </w:r>
      <w:r w:rsidRPr="00576F5F">
        <w:t>я</w:t>
      </w:r>
      <w:r w:rsidRPr="00576F5F">
        <w:t>ющихся участниками отбора);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3) документы, подтверждающие соответствие участника отбора катег</w:t>
      </w:r>
      <w:r w:rsidRPr="00576F5F">
        <w:t>о</w:t>
      </w:r>
      <w:r w:rsidRPr="00576F5F">
        <w:t>рии, указанной в пункте 1.5 настоящего Порядка: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копии учредительных документов (для юридических лиц,</w:t>
      </w:r>
      <w:r w:rsidR="00C87034" w:rsidRPr="00576F5F">
        <w:t xml:space="preserve"> являющихся участниками отбора)</w:t>
      </w:r>
      <w:r w:rsidRPr="00576F5F">
        <w:t>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копия свидетельства или уведомления о постановке на учет в налоговом органе;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выписка из Единого государственного реестра юридических лиц (для юридических лиц,</w:t>
      </w:r>
      <w:r w:rsidR="00C87034" w:rsidRPr="00576F5F">
        <w:t xml:space="preserve"> являющихся участниками отбора)</w:t>
      </w:r>
      <w:r w:rsidRPr="00576F5F">
        <w:t>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выписка из Единого государственного реестра недвижимости об объекте недвижимости, удостоверяющая государственную регистрацию права на об</w:t>
      </w:r>
      <w:r w:rsidRPr="00576F5F">
        <w:t>ъ</w:t>
      </w:r>
      <w:r w:rsidRPr="00576F5F">
        <w:t>ект культурного наследия, выявленный объект культурного наследия;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4) документы, подтверждающие соответствие участника отбора требов</w:t>
      </w:r>
      <w:r w:rsidRPr="00576F5F">
        <w:t>а</w:t>
      </w:r>
      <w:r w:rsidRPr="00576F5F">
        <w:t>ниям, установленным в подпункте 2.3.1 пункта 2.3 настоящего Порядка: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справка об исполнении налогоплательщиком (плательщиком сбора, пл</w:t>
      </w:r>
      <w:r w:rsidRPr="00576F5F">
        <w:t>а</w:t>
      </w:r>
      <w:r w:rsidRPr="00576F5F">
        <w:t xml:space="preserve">тельщиком страховых взносов, налоговым агентом) обязанности по уплате налогов, сборов, страховых взносов, пеней, штрафов, процентов, составленная по форме, утвержденной приказом Федеральной налоговой службы </w:t>
      </w:r>
      <w:r w:rsidR="00D84F06" w:rsidRPr="00576F5F">
        <w:t>от 23 ноя</w:t>
      </w:r>
      <w:r w:rsidR="00D84F06" w:rsidRPr="00576F5F">
        <w:t>б</w:t>
      </w:r>
      <w:r w:rsidR="00D84F06" w:rsidRPr="00576F5F">
        <w:t>ря 2022</w:t>
      </w:r>
      <w:r w:rsidR="00B61BE9" w:rsidRPr="00576F5F">
        <w:t xml:space="preserve"> </w:t>
      </w:r>
      <w:r w:rsidR="00D84F06" w:rsidRPr="00576F5F">
        <w:t>г. № ЕД-7-8/1123@</w:t>
      </w:r>
      <w:r w:rsidR="00D07DFA" w:rsidRPr="00576F5F">
        <w:t>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справка о просроченной задолженности по субсидиям, бюджетным инв</w:t>
      </w:r>
      <w:r w:rsidRPr="00576F5F">
        <w:t>е</w:t>
      </w:r>
      <w:r w:rsidRPr="00576F5F">
        <w:t xml:space="preserve">стициям и иным средствам, предоставленным из </w:t>
      </w:r>
      <w:r w:rsidR="00142F2C" w:rsidRPr="00576F5F">
        <w:t>республиканского</w:t>
      </w:r>
      <w:r w:rsidRPr="00576F5F">
        <w:t xml:space="preserve"> бюджета </w:t>
      </w:r>
      <w:r w:rsidR="00B61BE9" w:rsidRPr="00576F5F">
        <w:t xml:space="preserve">Республики Тыва </w:t>
      </w:r>
      <w:r w:rsidRPr="00576F5F">
        <w:t>в соответствии с нормативными правовыми актами Респу</w:t>
      </w:r>
      <w:r w:rsidRPr="00576F5F">
        <w:t>б</w:t>
      </w:r>
      <w:r w:rsidRPr="00576F5F">
        <w:t>лики Тыва;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справка, составленная в произвольной форме и подписанная руководит</w:t>
      </w:r>
      <w:r w:rsidRPr="00576F5F">
        <w:t>е</w:t>
      </w:r>
      <w:r w:rsidRPr="00576F5F">
        <w:t>лем юридического лица, являющегося участником отбора (физическим лицом, являющимся участник</w:t>
      </w:r>
      <w:r w:rsidR="00B61BE9" w:rsidRPr="00576F5F">
        <w:t xml:space="preserve">ом отбора), подтверждающая, что </w:t>
      </w:r>
      <w:r w:rsidRPr="00576F5F">
        <w:t xml:space="preserve">участник отбора </w:t>
      </w:r>
      <w:r w:rsidR="004E5EF1">
        <w:t>–</w:t>
      </w:r>
      <w:r w:rsidRPr="00576F5F">
        <w:t xml:space="preserve"> юридическое лицо не находится в процессе реорганизации (за исключением р</w:t>
      </w:r>
      <w:r w:rsidRPr="00576F5F">
        <w:t>е</w:t>
      </w:r>
      <w:r w:rsidRPr="00576F5F">
        <w:lastRenderedPageBreak/>
        <w:t>организации в форме присоединения к нему другого юридического лица), ли</w:t>
      </w:r>
      <w:r w:rsidRPr="00576F5F">
        <w:t>к</w:t>
      </w:r>
      <w:r w:rsidRPr="00576F5F">
        <w:t>видации, в отношении него не введена процедура банкротства, его деятельность не приостановлена в порядке, предусмотренном законод</w:t>
      </w:r>
      <w:r w:rsidR="00C87034" w:rsidRPr="00576F5F">
        <w:t>ательством Российской Федерации</w:t>
      </w:r>
      <w:r w:rsidRPr="00576F5F">
        <w:t>;</w:t>
      </w:r>
    </w:p>
    <w:p w:rsidR="00C87034" w:rsidRPr="00576F5F" w:rsidRDefault="00B252E7" w:rsidP="008730BF">
      <w:pPr>
        <w:pStyle w:val="ad"/>
        <w:ind w:firstLine="709"/>
        <w:jc w:val="both"/>
      </w:pPr>
      <w:r w:rsidRPr="00576F5F">
        <w:t>5) документы, подтверждающие соответствие требованиям, установле</w:t>
      </w:r>
      <w:r w:rsidRPr="00576F5F">
        <w:t>н</w:t>
      </w:r>
      <w:r w:rsidRPr="00576F5F">
        <w:t xml:space="preserve">ным в подпунктах 2.3.2-2.3.3 пункта 2.3 настоящего Порядка, за исключением документов, находящихся в распоряжении </w:t>
      </w:r>
      <w:r w:rsidR="00C87034" w:rsidRPr="00576F5F">
        <w:t>Министерства</w:t>
      </w:r>
      <w:r w:rsidRPr="00576F5F">
        <w:t>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Перечень документов, представляемых участником отбора в соответствии с настоящим подпунктом, определяется </w:t>
      </w:r>
      <w:r w:rsidR="00C87034" w:rsidRPr="00576F5F">
        <w:t>Министерством</w:t>
      </w:r>
      <w:r w:rsidRPr="00576F5F">
        <w:t>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6) документы, подтверждающие соответствие требованиям, установле</w:t>
      </w:r>
      <w:r w:rsidRPr="00576F5F">
        <w:t>н</w:t>
      </w:r>
      <w:r w:rsidRPr="00576F5F">
        <w:t>ным в подпункте 2.3.4 пункта 2.3 настоящего Порядка: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копия согласованного в установленном порядке сметного расчета на в</w:t>
      </w:r>
      <w:r w:rsidRPr="00576F5F">
        <w:t>ы</w:t>
      </w:r>
      <w:r w:rsidRPr="00576F5F">
        <w:t>полнение работ по сохранению объекта культурного наследия, выявленного объекта культурного наследия;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копии документов, подтверждающих возникновение у участника отбора денежных обязательств (договоры, контракты, договор на проведение авто</w:t>
      </w:r>
      <w:r w:rsidRPr="00576F5F">
        <w:t>р</w:t>
      </w:r>
      <w:r w:rsidRPr="00576F5F">
        <w:t>ского надзора и научного руководства, договор на проведение технического надзора), по которым участником отбора произведены платежи;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копии платежных документов к документам, подтверждающим возникн</w:t>
      </w:r>
      <w:r w:rsidRPr="00576F5F">
        <w:t>о</w:t>
      </w:r>
      <w:r w:rsidRPr="00576F5F">
        <w:t>вение у участника отбора денежных обязательств, по которым участником о</w:t>
      </w:r>
      <w:r w:rsidRPr="00576F5F">
        <w:t>т</w:t>
      </w:r>
      <w:r w:rsidRPr="00576F5F">
        <w:t>бора произведены платежи;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7) выписка из банка с банковскими реквизитами участника отбора для п</w:t>
      </w:r>
      <w:r w:rsidRPr="00576F5F">
        <w:t>е</w:t>
      </w:r>
      <w:r w:rsidRPr="00576F5F">
        <w:t>речисления субсидии.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2.4.2. Заявка подается на бумажном носителе.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Последовательность размещения документов в заявке должна соотве</w:t>
      </w:r>
      <w:r w:rsidRPr="00576F5F">
        <w:t>т</w:t>
      </w:r>
      <w:r w:rsidRPr="00576F5F">
        <w:t>ствовать последовательности, определенной в подпункте 2.4.1 настоящего пункта. Все листы заявки должны быть пронумерованы.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Все документы, включенные в состав заявки, должны быть четко напеч</w:t>
      </w:r>
      <w:r w:rsidRPr="00576F5F">
        <w:t>а</w:t>
      </w:r>
      <w:r w:rsidRPr="00576F5F">
        <w:t>таны и заполнены по всем пунктам (в случае отсутствия данных ставится пр</w:t>
      </w:r>
      <w:r w:rsidRPr="00576F5F">
        <w:t>о</w:t>
      </w:r>
      <w:r w:rsidRPr="00576F5F">
        <w:t xml:space="preserve">черк). Подчистки и исправления не допускаются. 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Копии документов, включенных в состав заявки, должны быть заверены руководителем юридического лица, являющегося участником отбора, удост</w:t>
      </w:r>
      <w:r w:rsidRPr="00576F5F">
        <w:t>о</w:t>
      </w:r>
      <w:r w:rsidRPr="00576F5F">
        <w:t xml:space="preserve">веряющим полное соответствие их подлинникам. 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Ответственность за полноту заявки, ее содержание, в том числе достове</w:t>
      </w:r>
      <w:r w:rsidRPr="00576F5F">
        <w:t>р</w:t>
      </w:r>
      <w:r w:rsidRPr="00576F5F">
        <w:t>ность сведений, содержащихся в документах, входящих в состав заявки, несет руководитель юридического лица, являющегося участником отбора.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2.5. Участник отбора подает заявку в порядке и сроки, указанные в об</w:t>
      </w:r>
      <w:r w:rsidRPr="00576F5F">
        <w:t>ъ</w:t>
      </w:r>
      <w:r w:rsidRPr="00576F5F">
        <w:t>явлении.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Участник отбора вправе подать не более одной заявки.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2.6. </w:t>
      </w:r>
      <w:r w:rsidR="00664050" w:rsidRPr="00576F5F">
        <w:t>Министерство</w:t>
      </w:r>
      <w:r w:rsidRPr="00576F5F">
        <w:t>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регистрирует поступившую заявку в порядке, установленном в Приме</w:t>
      </w:r>
      <w:r w:rsidRPr="00576F5F">
        <w:t>р</w:t>
      </w:r>
      <w:r w:rsidRPr="00576F5F">
        <w:t>ной инструкции по делопроизводству в органах исполнительной власти Ре</w:t>
      </w:r>
      <w:r w:rsidRPr="00576F5F">
        <w:t>с</w:t>
      </w:r>
      <w:r w:rsidRPr="00576F5F">
        <w:t>публики Тыва, утвержденной распоряжение</w:t>
      </w:r>
      <w:r w:rsidR="00D07DFA" w:rsidRPr="00576F5F">
        <w:t>м</w:t>
      </w:r>
      <w:r w:rsidRPr="00576F5F">
        <w:t xml:space="preserve"> Правите</w:t>
      </w:r>
      <w:r w:rsidR="00B61BE9" w:rsidRPr="00576F5F">
        <w:t xml:space="preserve">льства Республики Тыва от 20 ноября </w:t>
      </w:r>
      <w:r w:rsidRPr="00576F5F">
        <w:t>2019</w:t>
      </w:r>
      <w:r w:rsidR="00B61BE9" w:rsidRPr="00576F5F">
        <w:t xml:space="preserve"> </w:t>
      </w:r>
      <w:r w:rsidRPr="00576F5F">
        <w:t>г. № 502-р;</w:t>
      </w:r>
    </w:p>
    <w:p w:rsidR="00B252E7" w:rsidRPr="00576F5F" w:rsidRDefault="00B61BE9" w:rsidP="008730BF">
      <w:pPr>
        <w:pStyle w:val="ad"/>
        <w:ind w:firstLine="709"/>
        <w:jc w:val="both"/>
      </w:pPr>
      <w:r w:rsidRPr="00576F5F">
        <w:t>в срок не позднее 3-</w:t>
      </w:r>
      <w:r w:rsidR="00B252E7" w:rsidRPr="00576F5F">
        <w:t xml:space="preserve">го рабочего дня, следующего за датой регистрации </w:t>
      </w:r>
      <w:r w:rsidR="00B252E7" w:rsidRPr="00576F5F">
        <w:lastRenderedPageBreak/>
        <w:t>заявки, проверяет: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соответствие объекта культурного наследия или выявленного объекта культурного наследия положениям, указанным в пункте 1.2 настоящего Поря</w:t>
      </w:r>
      <w:r w:rsidRPr="00576F5F">
        <w:t>д</w:t>
      </w:r>
      <w:r w:rsidRPr="00576F5F">
        <w:t>ка, на основании сведений, включенных в единый государственный реестр об</w:t>
      </w:r>
      <w:r w:rsidRPr="00576F5F">
        <w:t>ъ</w:t>
      </w:r>
      <w:r w:rsidRPr="00576F5F">
        <w:t>ектов культурного наследия (памятников истории и культуры) народов Росси</w:t>
      </w:r>
      <w:r w:rsidRPr="00576F5F">
        <w:t>й</w:t>
      </w:r>
      <w:r w:rsidRPr="00576F5F">
        <w:t xml:space="preserve">ской Федерации, размещенный в информационно-телекоммуникационной сети «Интернет» в форме открытых данных, или в перечень выявленных объектов культурного, находящийся в распоряжении </w:t>
      </w:r>
      <w:r w:rsidR="00664050" w:rsidRPr="00576F5F">
        <w:t>Министерства</w:t>
      </w:r>
      <w:r w:rsidRPr="00576F5F">
        <w:t>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участников отбора на соответствие категории, указанной в пункте 1.5 настоящего Порядка, на основании докумен</w:t>
      </w:r>
      <w:r w:rsidR="00B61BE9" w:rsidRPr="00576F5F">
        <w:t xml:space="preserve">тов, указанных в подпункте 3 </w:t>
      </w:r>
      <w:r w:rsidRPr="00576F5F">
        <w:t>пун</w:t>
      </w:r>
      <w:r w:rsidRPr="00576F5F">
        <w:t>к</w:t>
      </w:r>
      <w:r w:rsidRPr="00576F5F">
        <w:t>та 2.4.1 настоящего Порядка.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Несоответствие объекта культурного наследия или выявленного объекта культурного наследия положениям, указанным в пункте 1.2 настоящего Поря</w:t>
      </w:r>
      <w:r w:rsidRPr="00576F5F">
        <w:t>д</w:t>
      </w:r>
      <w:r w:rsidRPr="00576F5F">
        <w:t>ка, и (или) участника отбора категории, указанной в пункте 1.5 настоящего П</w:t>
      </w:r>
      <w:r w:rsidRPr="00576F5F">
        <w:t>о</w:t>
      </w:r>
      <w:r w:rsidRPr="00576F5F">
        <w:t>рядка, является основанием для возврата заявки в порядке, указанном в объя</w:t>
      </w:r>
      <w:r w:rsidRPr="00576F5F">
        <w:t>в</w:t>
      </w:r>
      <w:r w:rsidRPr="00576F5F">
        <w:t>лении.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При отсутствии оснований для возврата заявки </w:t>
      </w:r>
      <w:r w:rsidR="00664050" w:rsidRPr="00576F5F">
        <w:t>Министерство</w:t>
      </w:r>
      <w:r w:rsidRPr="00576F5F">
        <w:t xml:space="preserve"> передает заявки в Комиссию в день проведения заседания Комиссии для рассмотрения их в порядке, установленном пунктом 2.7 настоящего Порядка.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2.7. Правила рассмотрения заявок: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Заявки в срок не позднее 30-го рабочего дня, следующего за днем око</w:t>
      </w:r>
      <w:r w:rsidRPr="00576F5F">
        <w:t>н</w:t>
      </w:r>
      <w:r w:rsidRPr="00576F5F">
        <w:t>чания приема заявок, указанного в объявлении, подлежат рассмотрению на з</w:t>
      </w:r>
      <w:r w:rsidRPr="00576F5F">
        <w:t>а</w:t>
      </w:r>
      <w:r w:rsidRPr="00576F5F">
        <w:t>седании Комиссии.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Комиссия отбирает организации исходя из соответствия требованиям, указанным в объявлении в соответствии с пунктами 2.3, 2.4 настоящего Поря</w:t>
      </w:r>
      <w:r w:rsidRPr="00576F5F">
        <w:t>д</w:t>
      </w:r>
      <w:r w:rsidRPr="00576F5F">
        <w:t>ка.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Комиссия: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при наличии оснований для отклонения заявок, указанных в пункте 2.9 настоящего Порядка, отклоняет заявки;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при отсутствии оснований для отклонения заявок, указанных в пункте 2.9 настоящего Порядка: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включает участников отбора в список участников отбора, прошедших о</w:t>
      </w:r>
      <w:r w:rsidRPr="00576F5F">
        <w:t>т</w:t>
      </w:r>
      <w:r w:rsidRPr="00576F5F">
        <w:t xml:space="preserve">бор (далее </w:t>
      </w:r>
      <w:r w:rsidR="004E5EF1">
        <w:t>–</w:t>
      </w:r>
      <w:r w:rsidRPr="00576F5F">
        <w:t xml:space="preserve"> Список), в порядке очередности поступления заявок;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определяет победителей отбора и размер субсидии каждому победителю отбора.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Победителями отбора признаются все участники отбора, включенные в Список.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Размер субсидии определяется в соответствии с пунктом 3.4 настоящего Порядка.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Решение Комиссии оформляется протоколом заседания Комиссии.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Комиссия в срок не позднее рабочего дня, следующего за днем провед</w:t>
      </w:r>
      <w:r w:rsidRPr="00576F5F">
        <w:t>е</w:t>
      </w:r>
      <w:r w:rsidRPr="00576F5F">
        <w:t xml:space="preserve">ния заседания Комиссии, передает подписанный протокол заседания Комиссии в </w:t>
      </w:r>
      <w:r w:rsidR="00664050" w:rsidRPr="00576F5F">
        <w:t>Министерство</w:t>
      </w:r>
      <w:r w:rsidRPr="00576F5F">
        <w:t>.</w:t>
      </w:r>
    </w:p>
    <w:p w:rsidR="00B252E7" w:rsidRPr="00576F5F" w:rsidRDefault="00664050" w:rsidP="008730BF">
      <w:pPr>
        <w:pStyle w:val="ad"/>
        <w:ind w:firstLine="709"/>
        <w:jc w:val="both"/>
      </w:pPr>
      <w:r w:rsidRPr="00576F5F">
        <w:t>Министерство</w:t>
      </w:r>
      <w:r w:rsidR="00B252E7" w:rsidRPr="00576F5F">
        <w:t>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утверждает на основании протокола заседания Комиссии список получ</w:t>
      </w:r>
      <w:r w:rsidRPr="00576F5F">
        <w:t>а</w:t>
      </w:r>
      <w:r w:rsidRPr="00576F5F">
        <w:lastRenderedPageBreak/>
        <w:t>телей субсидии из числа победителей отбора и размер субсидии каждому пол</w:t>
      </w:r>
      <w:r w:rsidRPr="00576F5F">
        <w:t>у</w:t>
      </w:r>
      <w:r w:rsidRPr="00576F5F">
        <w:t>чателю субсидии;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размещает на едином портале, а также на официальном сайте </w:t>
      </w:r>
      <w:r w:rsidR="00664050" w:rsidRPr="00576F5F">
        <w:t>Министе</w:t>
      </w:r>
      <w:r w:rsidR="00664050" w:rsidRPr="00576F5F">
        <w:t>р</w:t>
      </w:r>
      <w:r w:rsidR="00664050" w:rsidRPr="00576F5F">
        <w:t>ства</w:t>
      </w:r>
      <w:r w:rsidRPr="00576F5F">
        <w:t xml:space="preserve"> информацию о результатах рассмотрения заявок, включающую следующие сведения: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дату, время и место рассмотрения заявок;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информацию об участниках отбора, заявки которых были рассмотрены;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наименования получателей субсидии, с которыми заключаются соглаш</w:t>
      </w:r>
      <w:r w:rsidRPr="00576F5F">
        <w:t>е</w:t>
      </w:r>
      <w:r w:rsidRPr="00576F5F">
        <w:t>ния о предоставлении субсидии, и размер субсидии, предоставляемой каждому получателю субсидии;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возвращает отклоненные заявки участникам отбора письмом </w:t>
      </w:r>
      <w:r w:rsidR="00664050" w:rsidRPr="00576F5F">
        <w:t>Министе</w:t>
      </w:r>
      <w:r w:rsidR="00664050" w:rsidRPr="00576F5F">
        <w:t>р</w:t>
      </w:r>
      <w:r w:rsidR="00664050" w:rsidRPr="00576F5F">
        <w:t>ства</w:t>
      </w:r>
      <w:r w:rsidRPr="00576F5F">
        <w:t xml:space="preserve"> с мотивированным обоснованием отказа.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2.8. Состав Комиссии и Положение о ней утверждаются приказом </w:t>
      </w:r>
      <w:r w:rsidR="00664050" w:rsidRPr="00576F5F">
        <w:t>Мин</w:t>
      </w:r>
      <w:r w:rsidR="00664050" w:rsidRPr="00576F5F">
        <w:t>и</w:t>
      </w:r>
      <w:r w:rsidR="00664050" w:rsidRPr="00576F5F">
        <w:t>стерства</w:t>
      </w:r>
      <w:r w:rsidRPr="00576F5F">
        <w:t>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2.9. Основания для отклонения заявки: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несоответствие участника отбора требованиям, установленным в пункте 2.3 настоящего Порядка;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несоответствие заявки и (или) документов, представленных участником отбора, требованиям, указанным в объявлении на основании пункта 2.4 наст</w:t>
      </w:r>
      <w:r w:rsidRPr="00576F5F">
        <w:t>о</w:t>
      </w:r>
      <w:r w:rsidRPr="00576F5F">
        <w:t>ящего Порядка;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недостоверность представленной участником отбора информации, в том числе информации о месте нахождения и адресе юридического лица, являющ</w:t>
      </w:r>
      <w:r w:rsidRPr="00576F5F">
        <w:t>е</w:t>
      </w:r>
      <w:r w:rsidRPr="00576F5F">
        <w:t>гося участником отбора;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подача участником отбора заявки после даты и (или) времени, опред</w:t>
      </w:r>
      <w:r w:rsidRPr="00576F5F">
        <w:t>е</w:t>
      </w:r>
      <w:r w:rsidRPr="00576F5F">
        <w:t>ленных для подачи заявок в объявлении.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2.10. Получатели субсидии в течение срока, указанного в объявлении, з</w:t>
      </w:r>
      <w:r w:rsidRPr="00576F5F">
        <w:t>а</w:t>
      </w:r>
      <w:r w:rsidRPr="00576F5F">
        <w:t xml:space="preserve">ключают с </w:t>
      </w:r>
      <w:r w:rsidR="00664050" w:rsidRPr="00576F5F">
        <w:t xml:space="preserve">Министерством </w:t>
      </w:r>
      <w:r w:rsidRPr="00576F5F">
        <w:t>соглашения о предоставлении субсидии с учетом пункта 3.6 настоящего Порядка.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2.11. Результаты отбора, содержащие сведения о получателях субсидии, заключивших с </w:t>
      </w:r>
      <w:r w:rsidR="00664050" w:rsidRPr="00576F5F">
        <w:t xml:space="preserve">Министерством </w:t>
      </w:r>
      <w:r w:rsidRPr="00576F5F">
        <w:t>соглашения о предоставлении субсидии, ра</w:t>
      </w:r>
      <w:r w:rsidRPr="00576F5F">
        <w:t>з</w:t>
      </w:r>
      <w:r w:rsidRPr="00576F5F">
        <w:t xml:space="preserve">мещаются на едином портале и на официальном сайте </w:t>
      </w:r>
      <w:r w:rsidR="00664050" w:rsidRPr="00576F5F">
        <w:t>Министерства</w:t>
      </w:r>
      <w:r w:rsidRPr="00576F5F">
        <w:t xml:space="preserve"> в срок, указанный в объявлении.</w:t>
      </w:r>
    </w:p>
    <w:p w:rsidR="00B252E7" w:rsidRPr="00576F5F" w:rsidRDefault="00B252E7" w:rsidP="008730BF">
      <w:pPr>
        <w:pStyle w:val="ad"/>
        <w:jc w:val="center"/>
      </w:pPr>
    </w:p>
    <w:p w:rsidR="00B252E7" w:rsidRPr="00576F5F" w:rsidRDefault="00B252E7" w:rsidP="008730BF">
      <w:pPr>
        <w:pStyle w:val="ad"/>
        <w:jc w:val="center"/>
      </w:pPr>
      <w:r w:rsidRPr="00576F5F">
        <w:rPr>
          <w:bCs/>
        </w:rPr>
        <w:t>3. Условия и порядок предоставления субсидии</w:t>
      </w:r>
    </w:p>
    <w:p w:rsidR="00B252E7" w:rsidRPr="00576F5F" w:rsidRDefault="00B252E7" w:rsidP="008730BF">
      <w:pPr>
        <w:pStyle w:val="ad"/>
        <w:jc w:val="center"/>
      </w:pPr>
    </w:p>
    <w:p w:rsidR="00B252E7" w:rsidRPr="00576F5F" w:rsidRDefault="00B252E7" w:rsidP="008730BF">
      <w:pPr>
        <w:pStyle w:val="ad"/>
        <w:ind w:firstLine="709"/>
        <w:jc w:val="both"/>
      </w:pPr>
      <w:r w:rsidRPr="00576F5F">
        <w:t>3.1. Субсидия предоставляется на возмещение фактических произведе</w:t>
      </w:r>
      <w:r w:rsidRPr="00576F5F">
        <w:t>н</w:t>
      </w:r>
      <w:r w:rsidRPr="00576F5F">
        <w:t>ных и документально подтвержденных затрат, связанных с сохранением объе</w:t>
      </w:r>
      <w:r w:rsidRPr="00576F5F">
        <w:t>к</w:t>
      </w:r>
      <w:r w:rsidRPr="00576F5F">
        <w:t>та культурного наследия, выявленного объекта культурного наследия.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К направлениям затрат, на возмещение которых предоставляется субс</w:t>
      </w:r>
      <w:r w:rsidRPr="00576F5F">
        <w:t>и</w:t>
      </w:r>
      <w:r w:rsidRPr="00576F5F">
        <w:t xml:space="preserve">дия, относятся затраты, понесенные получателем субсидии на проведение научно-исследовательских, изыскательских, проектных и производственных работ, выполнение которых подтверждено актом выполненных работ, а также </w:t>
      </w:r>
      <w:r w:rsidRPr="00576F5F">
        <w:lastRenderedPageBreak/>
        <w:t>научное руководство проведением таких работ, технический и авторский надзор за их проведением, подтвержденные соответствующими договорами.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3.2. Условием предоставления субсидии является согласие получателя субсидии на осуществление проверок </w:t>
      </w:r>
      <w:r w:rsidR="00664050" w:rsidRPr="00576F5F">
        <w:t>Министерством</w:t>
      </w:r>
      <w:r w:rsidRPr="00576F5F">
        <w:t xml:space="preserve"> в части соблюдения п</w:t>
      </w:r>
      <w:r w:rsidRPr="00576F5F">
        <w:t>о</w:t>
      </w:r>
      <w:r w:rsidRPr="00576F5F">
        <w:t>лучателем субсидии порядка и условий предоставления субсидий, в том числе в части достижения результатов их предоставления, а также органами госуда</w:t>
      </w:r>
      <w:r w:rsidRPr="00576F5F">
        <w:t>р</w:t>
      </w:r>
      <w:r w:rsidRPr="00576F5F">
        <w:t>ственного финансового контроля в соответствии со статьями</w:t>
      </w:r>
      <w:r w:rsidR="004E5EF1">
        <w:t xml:space="preserve"> 268</w:t>
      </w:r>
      <w:r w:rsidR="004E5EF1" w:rsidRPr="004E5EF1">
        <w:rPr>
          <w:vertAlign w:val="superscript"/>
        </w:rPr>
        <w:t>1</w:t>
      </w:r>
      <w:r w:rsidR="00FF79B6">
        <w:t xml:space="preserve"> и 268</w:t>
      </w:r>
      <w:r w:rsidR="00FF79B6" w:rsidRPr="00FF79B6">
        <w:rPr>
          <w:vertAlign w:val="superscript"/>
        </w:rPr>
        <w:t>2</w:t>
      </w:r>
      <w:r w:rsidR="00FF79B6">
        <w:rPr>
          <w:vertAlign w:val="superscript"/>
        </w:rPr>
        <w:t xml:space="preserve"> </w:t>
      </w:r>
      <w:r w:rsidRPr="00576F5F">
        <w:t>Бю</w:t>
      </w:r>
      <w:r w:rsidRPr="00576F5F">
        <w:t>д</w:t>
      </w:r>
      <w:r w:rsidRPr="00576F5F">
        <w:t>жетного кодекса Российской Федерации.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3.3. Основанием для отказа получателю субсидии в предоставлении су</w:t>
      </w:r>
      <w:r w:rsidRPr="00576F5F">
        <w:t>б</w:t>
      </w:r>
      <w:r w:rsidRPr="00576F5F">
        <w:t>сидии является установление факта недостоверности представленной им и</w:t>
      </w:r>
      <w:r w:rsidRPr="00576F5F">
        <w:t>н</w:t>
      </w:r>
      <w:r w:rsidRPr="00576F5F">
        <w:t>формации, в том числе послужившей основанием для признания его победит</w:t>
      </w:r>
      <w:r w:rsidRPr="00576F5F">
        <w:t>е</w:t>
      </w:r>
      <w:r w:rsidRPr="00576F5F">
        <w:t>лем отбора.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3.4. Размер субсидии определяется исходя из фактических произведенных и документально подтвержденных затрат, связанных с сохранением объекта культурного наследия, выявленного объекта культурного наследия, по напра</w:t>
      </w:r>
      <w:r w:rsidRPr="00576F5F">
        <w:t>в</w:t>
      </w:r>
      <w:r w:rsidRPr="00576F5F">
        <w:t xml:space="preserve">лениям, указанным </w:t>
      </w:r>
      <w:r w:rsidR="00942CAC" w:rsidRPr="00576F5F">
        <w:t>в пункте 3.1 настоящего Порядка</w:t>
      </w:r>
      <w:r w:rsidRPr="00576F5F">
        <w:t xml:space="preserve"> в размере </w:t>
      </w:r>
      <w:r w:rsidR="00942CAC" w:rsidRPr="00576F5F">
        <w:t>10</w:t>
      </w:r>
      <w:r w:rsidR="00347DFD" w:rsidRPr="00576F5F">
        <w:t>0</w:t>
      </w:r>
      <w:r w:rsidR="00FF79B6">
        <w:t xml:space="preserve"> процентов</w:t>
      </w:r>
      <w:r w:rsidR="00347DFD" w:rsidRPr="00576F5F">
        <w:t xml:space="preserve"> от произведенных затрат.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Источником финансового обеспечения субсидии являются средства </w:t>
      </w:r>
      <w:r w:rsidR="00142F2C" w:rsidRPr="00576F5F">
        <w:t>ре</w:t>
      </w:r>
      <w:r w:rsidR="00142F2C" w:rsidRPr="00576F5F">
        <w:t>с</w:t>
      </w:r>
      <w:r w:rsidR="00142F2C" w:rsidRPr="00576F5F">
        <w:t>публиканского</w:t>
      </w:r>
      <w:r w:rsidRPr="00576F5F">
        <w:t xml:space="preserve"> бюджета</w:t>
      </w:r>
      <w:r w:rsidR="00347DFD" w:rsidRPr="00576F5F">
        <w:t xml:space="preserve"> Республики Тыва</w:t>
      </w:r>
      <w:r w:rsidRPr="00576F5F">
        <w:t>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3.5. В случае н</w:t>
      </w:r>
      <w:r w:rsidR="00347DFD" w:rsidRPr="00576F5F">
        <w:t xml:space="preserve">арушения условий предоставления </w:t>
      </w:r>
      <w:r w:rsidRPr="00576F5F">
        <w:t xml:space="preserve">субсидия подлежит возврату в доход </w:t>
      </w:r>
      <w:r w:rsidR="00142F2C" w:rsidRPr="00576F5F">
        <w:t>республиканского</w:t>
      </w:r>
      <w:r w:rsidRPr="00576F5F">
        <w:t xml:space="preserve"> бюджета </w:t>
      </w:r>
      <w:r w:rsidR="00347DFD" w:rsidRPr="00576F5F">
        <w:t xml:space="preserve">Республики Тыва </w:t>
      </w:r>
      <w:r w:rsidRPr="00576F5F">
        <w:t>на основании: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предписания органа государственного финансового контроля, содерж</w:t>
      </w:r>
      <w:r w:rsidRPr="00576F5F">
        <w:t>а</w:t>
      </w:r>
      <w:r w:rsidRPr="00576F5F">
        <w:t>щего информацию о выявленных в пределах компетенции органа госуда</w:t>
      </w:r>
      <w:r w:rsidRPr="00576F5F">
        <w:t>р</w:t>
      </w:r>
      <w:r w:rsidRPr="00576F5F">
        <w:t>ственного финансового контроля нарушениях условий предоставления субс</w:t>
      </w:r>
      <w:r w:rsidRPr="00576F5F">
        <w:t>и</w:t>
      </w:r>
      <w:r w:rsidRPr="00576F5F">
        <w:t xml:space="preserve">дии и требование о возврате в доход </w:t>
      </w:r>
      <w:r w:rsidR="00142F2C" w:rsidRPr="00576F5F">
        <w:t>республиканского</w:t>
      </w:r>
      <w:r w:rsidRPr="00576F5F">
        <w:t xml:space="preserve"> бюджета </w:t>
      </w:r>
      <w:r w:rsidR="00347DFD" w:rsidRPr="00576F5F">
        <w:t xml:space="preserve">Республики Тыва </w:t>
      </w:r>
      <w:r w:rsidRPr="00576F5F">
        <w:t>субсидии в установленные в предписании сроки или в течение 30 кале</w:t>
      </w:r>
      <w:r w:rsidRPr="00576F5F">
        <w:t>н</w:t>
      </w:r>
      <w:r w:rsidRPr="00576F5F">
        <w:t>дарных дней со дня его получения, если срок не указан в предписании;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требования </w:t>
      </w:r>
      <w:r w:rsidR="00664050" w:rsidRPr="00576F5F">
        <w:t>Министерства</w:t>
      </w:r>
      <w:r w:rsidRPr="00576F5F">
        <w:t xml:space="preserve">, содержащего информацию о выявленных в пределах компетенции </w:t>
      </w:r>
      <w:r w:rsidR="00664050" w:rsidRPr="00576F5F">
        <w:t>Министерства</w:t>
      </w:r>
      <w:r w:rsidRPr="00576F5F">
        <w:t xml:space="preserve"> нарушениях условий предоставления субсидии и требование о возврате в доход </w:t>
      </w:r>
      <w:r w:rsidR="00142F2C" w:rsidRPr="00576F5F">
        <w:t>республиканского</w:t>
      </w:r>
      <w:r w:rsidRPr="00576F5F">
        <w:t xml:space="preserve"> бюджета субсидии в установленные в требовании сроки или в течение 30 календарных дней со дня его получения, если срок не указан в требовании.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Предписание органа государственного финансового контроля (требов</w:t>
      </w:r>
      <w:r w:rsidRPr="00576F5F">
        <w:t>а</w:t>
      </w:r>
      <w:r w:rsidRPr="00576F5F">
        <w:t xml:space="preserve">ние </w:t>
      </w:r>
      <w:r w:rsidR="00664050" w:rsidRPr="00576F5F">
        <w:t>Министерства</w:t>
      </w:r>
      <w:r w:rsidRPr="00576F5F">
        <w:t>) направляется получателю субсидии в срок не позднее 30-го рабочего дня со дня установления факта нарушения условия предоставления субсидии.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3.6. Субсидия предоставляется на основании соглашения о предоставл</w:t>
      </w:r>
      <w:r w:rsidRPr="00576F5F">
        <w:t>е</w:t>
      </w:r>
      <w:r w:rsidRPr="00576F5F">
        <w:t xml:space="preserve">нии субсидии, заключенного между </w:t>
      </w:r>
      <w:r w:rsidR="00664050" w:rsidRPr="00576F5F">
        <w:t>Министерством</w:t>
      </w:r>
      <w:r w:rsidR="00D07DFA" w:rsidRPr="00576F5F">
        <w:t xml:space="preserve"> </w:t>
      </w:r>
      <w:r w:rsidRPr="00576F5F">
        <w:t>и получателем субсидии (далее - соглашение) в сроки, указанные в объявлении.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Условия заключения соглашения: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получатель субсидии определен по результатам отбора;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соглашение, дополнительное соглашение к соглашению, в том числе д</w:t>
      </w:r>
      <w:r w:rsidRPr="00576F5F">
        <w:t>о</w:t>
      </w:r>
      <w:r w:rsidRPr="00576F5F">
        <w:t>полнительное соглашение о расторжении соглашения (при необходимости), з</w:t>
      </w:r>
      <w:r w:rsidRPr="00576F5F">
        <w:t>а</w:t>
      </w:r>
      <w:r w:rsidRPr="00576F5F">
        <w:t>ключаются в соответствии с типовыми фо</w:t>
      </w:r>
      <w:r w:rsidR="00347DFD" w:rsidRPr="00576F5F">
        <w:t>рмами, установленными приказом М</w:t>
      </w:r>
      <w:r w:rsidRPr="00576F5F">
        <w:t>инистерства финансов Республики Тыва от</w:t>
      </w:r>
      <w:r w:rsidR="00D07DFA" w:rsidRPr="00576F5F">
        <w:t xml:space="preserve"> 30 мая 2017 г. </w:t>
      </w:r>
      <w:r w:rsidR="00E067C2" w:rsidRPr="00576F5F">
        <w:t>№</w:t>
      </w:r>
      <w:r w:rsidR="00FF79B6">
        <w:t xml:space="preserve"> </w:t>
      </w:r>
      <w:r w:rsidR="00D07DFA" w:rsidRPr="00576F5F">
        <w:t>63 о/д</w:t>
      </w:r>
      <w:r w:rsidRPr="00576F5F">
        <w:t>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lastRenderedPageBreak/>
        <w:t>В соглашение включаются: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условие, указанное в пункте 3.2 настоящего Порядка;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условие о согласовании новых условий соглашения или о расторжении соглашения при недостижении согласия по новым условиям в случае уменьш</w:t>
      </w:r>
      <w:r w:rsidRPr="00576F5F">
        <w:t>е</w:t>
      </w:r>
      <w:r w:rsidRPr="00576F5F">
        <w:t xml:space="preserve">ния ранее доведенных до </w:t>
      </w:r>
      <w:r w:rsidR="00664050" w:rsidRPr="00576F5F">
        <w:t>Министерства</w:t>
      </w:r>
      <w:r w:rsidRPr="00576F5F">
        <w:t xml:space="preserve"> лимитов бюджетных обязательств на предоставление субсидии, приводящего к невозможности предоставления су</w:t>
      </w:r>
      <w:r w:rsidRPr="00576F5F">
        <w:t>б</w:t>
      </w:r>
      <w:r w:rsidRPr="00576F5F">
        <w:t>сидии в размере, определенном в соглашении.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В случае изменения обстоятельств, послуживших основанием для закл</w:t>
      </w:r>
      <w:r w:rsidRPr="00576F5F">
        <w:t>ю</w:t>
      </w:r>
      <w:r w:rsidRPr="00576F5F">
        <w:t>чения соглашения, получатель субсидии обязан уведомить о данных изменен</w:t>
      </w:r>
      <w:r w:rsidRPr="00576F5F">
        <w:t>и</w:t>
      </w:r>
      <w:r w:rsidRPr="00576F5F">
        <w:t xml:space="preserve">ях </w:t>
      </w:r>
      <w:r w:rsidR="00664050" w:rsidRPr="00576F5F">
        <w:t>Министерство</w:t>
      </w:r>
      <w:r w:rsidRPr="00576F5F">
        <w:t xml:space="preserve"> с приложением соответствующих документов.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3.7. Результат предоставления субсидии соответствует типу результатов предоставления субсидий «ремонт объектов недвижимого имущества».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Значение результата предоставления субсидии устанавливается в согл</w:t>
      </w:r>
      <w:r w:rsidRPr="00576F5F">
        <w:t>а</w:t>
      </w:r>
      <w:r w:rsidRPr="00576F5F">
        <w:t>шении.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Показатели, необходимые для достижения результата предоставления субсидии, не устанавливаются.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3.8. Перечисление субсидии осуществляется единовременно не позднее 10-го рабочего дня, следующего за днем принятия </w:t>
      </w:r>
      <w:r w:rsidR="0098196E" w:rsidRPr="00576F5F">
        <w:t>Министерством</w:t>
      </w:r>
      <w:r w:rsidRPr="00576F5F">
        <w:t xml:space="preserve"> решения о предоставлении субсидии.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Датой принятия решения о предоставлении субсидии является дата з</w:t>
      </w:r>
      <w:r w:rsidRPr="00576F5F">
        <w:t>а</w:t>
      </w:r>
      <w:r w:rsidRPr="00576F5F">
        <w:t>ключения соглашения (дополнительного соглашения к соглашению).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3.9. Перечисление субсидии осуществляется на основании соглашения (дополнительного соглашения к соглашению) после санкционирования оплаты денежных обязательств, с лицевого счета </w:t>
      </w:r>
      <w:r w:rsidR="0098196E" w:rsidRPr="00576F5F">
        <w:t>Министерства</w:t>
      </w:r>
      <w:r w:rsidR="00347DFD" w:rsidRPr="00576F5F">
        <w:t>, открытого в У</w:t>
      </w:r>
      <w:r w:rsidRPr="00576F5F">
        <w:t>правл</w:t>
      </w:r>
      <w:r w:rsidRPr="00576F5F">
        <w:t>е</w:t>
      </w:r>
      <w:r w:rsidRPr="00576F5F">
        <w:t xml:space="preserve">нии </w:t>
      </w:r>
      <w:r w:rsidR="00110658">
        <w:t>Ф</w:t>
      </w:r>
      <w:r w:rsidR="00347DFD" w:rsidRPr="00576F5F">
        <w:t xml:space="preserve">едерального </w:t>
      </w:r>
      <w:r w:rsidRPr="00576F5F">
        <w:t xml:space="preserve">казначейства </w:t>
      </w:r>
      <w:r w:rsidR="00347DFD" w:rsidRPr="00576F5F">
        <w:t>по Республике Тыва</w:t>
      </w:r>
      <w:r w:rsidRPr="00576F5F">
        <w:t>, на расчетный счет, о</w:t>
      </w:r>
      <w:r w:rsidRPr="00576F5F">
        <w:t>т</w:t>
      </w:r>
      <w:r w:rsidRPr="00576F5F">
        <w:t>крытый получателю субсидии в российской кредитной организации.</w:t>
      </w:r>
    </w:p>
    <w:p w:rsidR="00942CAC" w:rsidRPr="00576F5F" w:rsidRDefault="00942CAC" w:rsidP="008730BF">
      <w:pPr>
        <w:pStyle w:val="ad"/>
        <w:jc w:val="center"/>
      </w:pPr>
    </w:p>
    <w:p w:rsidR="00B252E7" w:rsidRPr="00576F5F" w:rsidRDefault="00B252E7" w:rsidP="008730BF">
      <w:pPr>
        <w:pStyle w:val="ad"/>
        <w:jc w:val="center"/>
      </w:pPr>
      <w:r w:rsidRPr="00576F5F">
        <w:rPr>
          <w:bCs/>
        </w:rPr>
        <w:t>4. Требования к отчетности</w:t>
      </w:r>
    </w:p>
    <w:p w:rsidR="00B252E7" w:rsidRPr="00576F5F" w:rsidRDefault="00B252E7" w:rsidP="008730BF">
      <w:pPr>
        <w:pStyle w:val="ad"/>
        <w:jc w:val="center"/>
      </w:pP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4.1. Получатель субсидии в срок до 1 февраля года, следующего за годом предоставления субсидии, представляет в </w:t>
      </w:r>
      <w:r w:rsidR="0098196E" w:rsidRPr="00576F5F">
        <w:t>Министерство</w:t>
      </w:r>
      <w:r w:rsidRPr="00576F5F">
        <w:t xml:space="preserve"> отчетность о достиж</w:t>
      </w:r>
      <w:r w:rsidRPr="00576F5F">
        <w:t>е</w:t>
      </w:r>
      <w:r w:rsidRPr="00576F5F">
        <w:t>нии результата предоставления субсидии.</w:t>
      </w:r>
    </w:p>
    <w:p w:rsidR="00B252E7" w:rsidRPr="00576F5F" w:rsidRDefault="00D07DFA" w:rsidP="008730BF">
      <w:pPr>
        <w:pStyle w:val="ad"/>
        <w:ind w:firstLine="709"/>
        <w:jc w:val="both"/>
      </w:pPr>
      <w:r w:rsidRPr="00576F5F">
        <w:t>Отчетность представляется по форме, определенной типовой формой с</w:t>
      </w:r>
      <w:r w:rsidRPr="00576F5F">
        <w:t>о</w:t>
      </w:r>
      <w:r w:rsidRPr="00576F5F">
        <w:t>г</w:t>
      </w:r>
      <w:r w:rsidR="00511175" w:rsidRPr="00576F5F">
        <w:t>лашения, утвержденной приказом М</w:t>
      </w:r>
      <w:r w:rsidRPr="00576F5F">
        <w:t>инистерства финансов Республики Тыва</w:t>
      </w:r>
      <w:r w:rsidR="00511175" w:rsidRPr="00576F5F">
        <w:t xml:space="preserve"> от 30 мая 2017 г. №</w:t>
      </w:r>
      <w:r w:rsidRPr="00576F5F">
        <w:t xml:space="preserve"> 63 о/д.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4.2. </w:t>
      </w:r>
      <w:r w:rsidR="0098196E" w:rsidRPr="00576F5F">
        <w:t xml:space="preserve">Министерство </w:t>
      </w:r>
      <w:r w:rsidRPr="00576F5F">
        <w:t>вправе устанавливать в соглашении сроки и формы представления получателем субсидии дополнительной отчетности.</w:t>
      </w:r>
    </w:p>
    <w:p w:rsidR="00B252E7" w:rsidRPr="00576F5F" w:rsidRDefault="00B252E7" w:rsidP="008730BF">
      <w:pPr>
        <w:pStyle w:val="ad"/>
        <w:jc w:val="center"/>
      </w:pPr>
    </w:p>
    <w:p w:rsidR="00B252E7" w:rsidRPr="00576F5F" w:rsidRDefault="00B252E7" w:rsidP="008730BF">
      <w:pPr>
        <w:pStyle w:val="ad"/>
        <w:jc w:val="center"/>
      </w:pPr>
      <w:r w:rsidRPr="00576F5F">
        <w:rPr>
          <w:bCs/>
        </w:rPr>
        <w:t>5. Требования об осуществлении контроля (мониторинга)</w:t>
      </w:r>
    </w:p>
    <w:p w:rsidR="001E1E32" w:rsidRDefault="00B252E7" w:rsidP="008730BF">
      <w:pPr>
        <w:pStyle w:val="ad"/>
        <w:jc w:val="center"/>
        <w:rPr>
          <w:bCs/>
        </w:rPr>
      </w:pPr>
      <w:r w:rsidRPr="00576F5F">
        <w:rPr>
          <w:bCs/>
        </w:rPr>
        <w:t xml:space="preserve">за соблюдением условий и порядка предоставления </w:t>
      </w:r>
    </w:p>
    <w:p w:rsidR="00B252E7" w:rsidRPr="00576F5F" w:rsidRDefault="00B252E7" w:rsidP="008730BF">
      <w:pPr>
        <w:pStyle w:val="ad"/>
        <w:jc w:val="center"/>
      </w:pPr>
      <w:r w:rsidRPr="00576F5F">
        <w:rPr>
          <w:bCs/>
        </w:rPr>
        <w:t>субсидии</w:t>
      </w:r>
      <w:r w:rsidR="001E1E32">
        <w:rPr>
          <w:bCs/>
        </w:rPr>
        <w:t xml:space="preserve"> </w:t>
      </w:r>
      <w:r w:rsidRPr="00576F5F">
        <w:rPr>
          <w:bCs/>
        </w:rPr>
        <w:t>и ответственности за их нарушение</w:t>
      </w:r>
    </w:p>
    <w:p w:rsidR="00B252E7" w:rsidRPr="00576F5F" w:rsidRDefault="00B252E7" w:rsidP="008730BF">
      <w:pPr>
        <w:pStyle w:val="ad"/>
        <w:jc w:val="center"/>
      </w:pPr>
    </w:p>
    <w:p w:rsidR="00B252E7" w:rsidRPr="00576F5F" w:rsidRDefault="00B252E7" w:rsidP="008730BF">
      <w:pPr>
        <w:pStyle w:val="ad"/>
        <w:ind w:firstLine="709"/>
        <w:jc w:val="both"/>
      </w:pPr>
      <w:r w:rsidRPr="00576F5F">
        <w:t>5.1. В отношении получателя субсидии осуществляются проверки:</w:t>
      </w:r>
    </w:p>
    <w:p w:rsidR="00B252E7" w:rsidRPr="00576F5F" w:rsidRDefault="0098196E" w:rsidP="008730BF">
      <w:pPr>
        <w:pStyle w:val="ad"/>
        <w:ind w:firstLine="709"/>
        <w:jc w:val="both"/>
      </w:pPr>
      <w:r w:rsidRPr="00576F5F">
        <w:t>Министерством</w:t>
      </w:r>
      <w:r w:rsidR="00B252E7" w:rsidRPr="00576F5F">
        <w:t xml:space="preserve"> </w:t>
      </w:r>
      <w:r w:rsidR="001E1E32">
        <w:t>–</w:t>
      </w:r>
      <w:r w:rsidR="00B252E7" w:rsidRPr="00576F5F">
        <w:t xml:space="preserve"> в части соблюдения порядка и условий предоставления субсидии, в том числе в части достижения результата ее предоставления;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lastRenderedPageBreak/>
        <w:t xml:space="preserve">органами государственного финансового контроля </w:t>
      </w:r>
      <w:r w:rsidR="001E1E32">
        <w:t>–</w:t>
      </w:r>
      <w:r w:rsidRPr="00576F5F">
        <w:t xml:space="preserve"> в соответствии со статьями</w:t>
      </w:r>
      <w:r w:rsidR="001E1E32">
        <w:t xml:space="preserve"> 268</w:t>
      </w:r>
      <w:r w:rsidR="001E1E32" w:rsidRPr="001E1E32">
        <w:rPr>
          <w:vertAlign w:val="superscript"/>
        </w:rPr>
        <w:t>1</w:t>
      </w:r>
      <w:r w:rsidR="001E1E32">
        <w:t xml:space="preserve"> и 268</w:t>
      </w:r>
      <w:r w:rsidR="001E1E32" w:rsidRPr="001E1E32">
        <w:rPr>
          <w:vertAlign w:val="superscript"/>
        </w:rPr>
        <w:t>2</w:t>
      </w:r>
      <w:r w:rsidRPr="00576F5F">
        <w:t xml:space="preserve"> Бюджетного кодекса Российской Федерации.</w:t>
      </w:r>
    </w:p>
    <w:p w:rsidR="00942CAC" w:rsidRPr="00576F5F" w:rsidRDefault="00B252E7" w:rsidP="008730BF">
      <w:pPr>
        <w:pStyle w:val="ad"/>
        <w:ind w:firstLine="709"/>
        <w:jc w:val="both"/>
      </w:pPr>
      <w:r w:rsidRPr="00576F5F">
        <w:t>5.2. В отношении получателя субсидии осуществляется мониторинг д</w:t>
      </w:r>
      <w:r w:rsidRPr="00576F5F">
        <w:t>о</w:t>
      </w:r>
      <w:r w:rsidRPr="00576F5F">
        <w:t>стижения результатов предоставления субсидии исходя из достижения знач</w:t>
      </w:r>
      <w:r w:rsidRPr="00576F5F">
        <w:t>е</w:t>
      </w:r>
      <w:r w:rsidRPr="00576F5F">
        <w:t>ний результатов предоставления субсидии, определенных соглашением, и с</w:t>
      </w:r>
      <w:r w:rsidRPr="00576F5F">
        <w:t>о</w:t>
      </w:r>
      <w:r w:rsidRPr="00576F5F">
        <w:t>бытий, отражающих факт завершения соответствующего мероприятия по пол</w:t>
      </w:r>
      <w:r w:rsidRPr="00576F5F">
        <w:t>у</w:t>
      </w:r>
      <w:r w:rsidRPr="00576F5F">
        <w:t xml:space="preserve">чению результата предоставления субсидии (контрольная точка), в порядке и по формам, установленным </w:t>
      </w:r>
      <w:r w:rsidR="00511175" w:rsidRPr="00576F5F">
        <w:t>приказом М</w:t>
      </w:r>
      <w:r w:rsidR="00942CAC" w:rsidRPr="00576F5F">
        <w:t>инистерства финансов Республики Т</w:t>
      </w:r>
      <w:r w:rsidR="00942CAC" w:rsidRPr="00576F5F">
        <w:t>ы</w:t>
      </w:r>
      <w:r w:rsidR="00942CAC" w:rsidRPr="00576F5F">
        <w:t>ва</w:t>
      </w:r>
      <w:r w:rsidR="00511175" w:rsidRPr="00576F5F">
        <w:t xml:space="preserve"> от 30 мая 2017 г. №</w:t>
      </w:r>
      <w:r w:rsidR="00942CAC" w:rsidRPr="00576F5F">
        <w:t xml:space="preserve"> 63 о/д.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5.3. Получатель субсидии несет ответственность за нарушение условий и порядка предоставления субсидии, установленных настоящим Порядком.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5.4. За нарушение условий и порядка предоставления субсидии, устано</w:t>
      </w:r>
      <w:r w:rsidRPr="00576F5F">
        <w:t>в</w:t>
      </w:r>
      <w:r w:rsidRPr="00576F5F">
        <w:t>ленных настоящим Порядком, устанавливаются следующие меры ответстве</w:t>
      </w:r>
      <w:r w:rsidRPr="00576F5F">
        <w:t>н</w:t>
      </w:r>
      <w:r w:rsidRPr="00576F5F">
        <w:t>ности: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5.4.1. Возврат средств субсидии в республиканский бюджет </w:t>
      </w:r>
      <w:r w:rsidR="00883685" w:rsidRPr="00576F5F">
        <w:t xml:space="preserve">Республики Тыва </w:t>
      </w:r>
      <w:r w:rsidRPr="00576F5F">
        <w:t>в случае нарушения получателем субсидии условий, установленных при предоставлении субсидии, выявленного в том числе по фактам проверок, пр</w:t>
      </w:r>
      <w:r w:rsidRPr="00576F5F">
        <w:t>о</w:t>
      </w:r>
      <w:r w:rsidRPr="00576F5F">
        <w:t xml:space="preserve">веденных </w:t>
      </w:r>
      <w:r w:rsidR="0098196E" w:rsidRPr="00576F5F">
        <w:t>Министерством</w:t>
      </w:r>
      <w:r w:rsidRPr="00576F5F">
        <w:t xml:space="preserve"> и органом государственного финансового контроля, в порядке, установленном пунктом 3.5 настоящего Порядка, в размере выя</w:t>
      </w:r>
      <w:r w:rsidRPr="00576F5F">
        <w:t>в</w:t>
      </w:r>
      <w:r w:rsidRPr="00576F5F">
        <w:t>ленных нарушений.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5.4.2. Возврат средств субсидии в республиканский бюджет </w:t>
      </w:r>
      <w:r w:rsidR="00883685" w:rsidRPr="00576F5F">
        <w:t xml:space="preserve">Республики Тыва </w:t>
      </w:r>
      <w:r w:rsidRPr="00576F5F">
        <w:t>в случае не</w:t>
      </w:r>
      <w:r w:rsidR="00794564">
        <w:t>достижения значений результатов</w:t>
      </w:r>
      <w:r w:rsidRPr="00576F5F">
        <w:t>, указанных в соглашении, в размере (Vвозврата), рассчитанном по следующей формуле:</w:t>
      </w:r>
    </w:p>
    <w:p w:rsidR="00B252E7" w:rsidRPr="008730BF" w:rsidRDefault="00B252E7" w:rsidP="008730BF">
      <w:pPr>
        <w:pStyle w:val="ad"/>
        <w:jc w:val="center"/>
        <w:rPr>
          <w:sz w:val="16"/>
        </w:rPr>
      </w:pPr>
    </w:p>
    <w:p w:rsidR="00B252E7" w:rsidRPr="00576F5F" w:rsidRDefault="00B252E7" w:rsidP="008730BF">
      <w:pPr>
        <w:pStyle w:val="ad"/>
        <w:jc w:val="center"/>
      </w:pPr>
      <w:r w:rsidRPr="00576F5F">
        <w:t>Vвозврата = I x (1 - Т / S),</w:t>
      </w:r>
    </w:p>
    <w:p w:rsidR="00B252E7" w:rsidRPr="008730BF" w:rsidRDefault="00B252E7" w:rsidP="008730BF">
      <w:pPr>
        <w:pStyle w:val="ad"/>
        <w:jc w:val="center"/>
        <w:rPr>
          <w:sz w:val="18"/>
        </w:rPr>
      </w:pP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где: </w:t>
      </w:r>
    </w:p>
    <w:p w:rsidR="00B252E7" w:rsidRPr="00576F5F" w:rsidRDefault="001E1E32" w:rsidP="008730BF">
      <w:pPr>
        <w:pStyle w:val="ad"/>
        <w:ind w:firstLine="709"/>
        <w:jc w:val="both"/>
      </w:pPr>
      <w:r>
        <w:t>I –</w:t>
      </w:r>
      <w:r w:rsidR="00B252E7" w:rsidRPr="00576F5F">
        <w:t xml:space="preserve"> размер субсидии, предоставленной получателю;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Т </w:t>
      </w:r>
      <w:r w:rsidR="001E1E32">
        <w:t>–</w:t>
      </w:r>
      <w:r w:rsidRPr="00576F5F">
        <w:t xml:space="preserve"> фактически достигнутое значение результата предоставления субс</w:t>
      </w:r>
      <w:r w:rsidRPr="00576F5F">
        <w:t>и</w:t>
      </w:r>
      <w:r w:rsidRPr="00576F5F">
        <w:t>дии на отчетную дату;</w:t>
      </w:r>
    </w:p>
    <w:p w:rsidR="00B252E7" w:rsidRPr="00576F5F" w:rsidRDefault="001E1E32" w:rsidP="008730BF">
      <w:pPr>
        <w:pStyle w:val="ad"/>
        <w:ind w:firstLine="709"/>
        <w:jc w:val="both"/>
      </w:pPr>
      <w:r>
        <w:t>S –</w:t>
      </w:r>
      <w:r w:rsidR="00B252E7" w:rsidRPr="00576F5F">
        <w:t xml:space="preserve"> плановое значение результата предоставления субсидии, установле</w:t>
      </w:r>
      <w:r w:rsidR="00B252E7" w:rsidRPr="00576F5F">
        <w:t>н</w:t>
      </w:r>
      <w:r w:rsidR="00B252E7" w:rsidRPr="00576F5F">
        <w:t>ное соглашением.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 xml:space="preserve">В случае недостижения получателем субсидии значения результата предоставления субсидии, </w:t>
      </w:r>
      <w:r w:rsidR="0098196E" w:rsidRPr="00576F5F">
        <w:t>Министерство</w:t>
      </w:r>
      <w:r w:rsidRPr="00576F5F">
        <w:t xml:space="preserve"> направляет получателю субсидии в срок не позднее 30-го рабочего дня, следующего за днем поступления отчета о достижении значения результата предоставления субсидии, письменное ув</w:t>
      </w:r>
      <w:r w:rsidRPr="00576F5F">
        <w:t>е</w:t>
      </w:r>
      <w:r w:rsidRPr="00576F5F">
        <w:t>домление о необходимости возврата средств субсидии в связи с недостижением значения результата предоставления субсидии, установленного соглашением, с указанием предельного срока перечисления средств, подлежащих возврату в республиканский бюджет.</w:t>
      </w:r>
    </w:p>
    <w:p w:rsidR="00B252E7" w:rsidRPr="00576F5F" w:rsidRDefault="00B252E7" w:rsidP="008730BF">
      <w:pPr>
        <w:pStyle w:val="ad"/>
        <w:ind w:firstLine="709"/>
        <w:jc w:val="both"/>
      </w:pPr>
      <w:r w:rsidRPr="00576F5F">
        <w:t>5.4.3. Иные меры ответственности, предусмотренные Кодексом Росси</w:t>
      </w:r>
      <w:r w:rsidRPr="00576F5F">
        <w:t>й</w:t>
      </w:r>
      <w:r w:rsidRPr="00576F5F">
        <w:t>ской Федерации об административных правонарушениях.</w:t>
      </w:r>
    </w:p>
    <w:p w:rsidR="00E44157" w:rsidRPr="00576F5F" w:rsidRDefault="0074596E" w:rsidP="008730BF">
      <w:pPr>
        <w:pStyle w:val="ad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959485</wp:posOffset>
                </wp:positionV>
                <wp:extent cx="11715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5pt,75.55pt" to="292.9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" strokecolor="black [3213]">
                <v:stroke joinstyle="miter"/>
              </v:line>
            </w:pict>
          </mc:Fallback>
        </mc:AlternateContent>
      </w:r>
      <w:r w:rsidR="00B252E7" w:rsidRPr="00576F5F">
        <w:t>5.5. Неисполнение получателем субсидии обязательств по возврату су</w:t>
      </w:r>
      <w:r w:rsidR="00B252E7" w:rsidRPr="00576F5F">
        <w:t>б</w:t>
      </w:r>
      <w:r w:rsidR="00B252E7" w:rsidRPr="00576F5F">
        <w:t>сидии в соответствии с подпунктами 5.4.1, 5.4.2 пункта 5.4 настоящего Порядка является основанием для взыскания с него полученной суммы субсидии в с</w:t>
      </w:r>
      <w:r w:rsidR="00B252E7" w:rsidRPr="00576F5F">
        <w:t>у</w:t>
      </w:r>
      <w:r w:rsidR="00B252E7" w:rsidRPr="00576F5F">
        <w:t>дебном порядке.</w:t>
      </w:r>
    </w:p>
    <w:sectPr w:rsidR="00E44157" w:rsidRPr="00576F5F" w:rsidSect="008730B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6B" w:rsidRDefault="00A7336B" w:rsidP="000A3750">
      <w:pPr>
        <w:spacing w:after="0" w:line="240" w:lineRule="auto"/>
      </w:pPr>
      <w:r>
        <w:separator/>
      </w:r>
    </w:p>
  </w:endnote>
  <w:endnote w:type="continuationSeparator" w:id="0">
    <w:p w:rsidR="00A7336B" w:rsidRDefault="00A7336B" w:rsidP="000A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6B" w:rsidRDefault="00A7336B" w:rsidP="000A3750">
      <w:pPr>
        <w:spacing w:after="0" w:line="240" w:lineRule="auto"/>
      </w:pPr>
      <w:r>
        <w:separator/>
      </w:r>
    </w:p>
  </w:footnote>
  <w:footnote w:type="continuationSeparator" w:id="0">
    <w:p w:rsidR="00A7336B" w:rsidRDefault="00A7336B" w:rsidP="000A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464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30BF" w:rsidRPr="008730BF" w:rsidRDefault="00D51C3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1C35" w:rsidRPr="00D51C35" w:rsidRDefault="00D51C35" w:rsidP="00D51C3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620200099/30311(6)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tm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OaL+2Z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D51C35" w:rsidRPr="00D51C35" w:rsidRDefault="00D51C35" w:rsidP="00D51C3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620200099/30311(6)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730BF" w:rsidRPr="008730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30BF" w:rsidRPr="008730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730BF" w:rsidRPr="008730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8730BF" w:rsidRPr="008730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BC6"/>
    <w:multiLevelType w:val="hybridMultilevel"/>
    <w:tmpl w:val="D62E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1046"/>
    <w:multiLevelType w:val="hybridMultilevel"/>
    <w:tmpl w:val="4866D25E"/>
    <w:lvl w:ilvl="0" w:tplc="0E624082">
      <w:start w:val="1"/>
      <w:numFmt w:val="decimal"/>
      <w:lvlText w:val="%1."/>
      <w:lvlJc w:val="left"/>
      <w:pPr>
        <w:ind w:left="7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E46263"/>
    <w:multiLevelType w:val="hybridMultilevel"/>
    <w:tmpl w:val="742C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12EBE"/>
    <w:multiLevelType w:val="hybridMultilevel"/>
    <w:tmpl w:val="81840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23235"/>
    <w:multiLevelType w:val="hybridMultilevel"/>
    <w:tmpl w:val="16B46E72"/>
    <w:lvl w:ilvl="0" w:tplc="FCCE21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583B91"/>
    <w:multiLevelType w:val="hybridMultilevel"/>
    <w:tmpl w:val="DC08A7FC"/>
    <w:lvl w:ilvl="0" w:tplc="ADB21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2249E1"/>
    <w:multiLevelType w:val="hybridMultilevel"/>
    <w:tmpl w:val="5F7A6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55707"/>
    <w:multiLevelType w:val="hybridMultilevel"/>
    <w:tmpl w:val="0C92BBE4"/>
    <w:lvl w:ilvl="0" w:tplc="723608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0232C1"/>
    <w:multiLevelType w:val="hybridMultilevel"/>
    <w:tmpl w:val="DE723914"/>
    <w:lvl w:ilvl="0" w:tplc="BE0688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CE1A2E"/>
    <w:multiLevelType w:val="hybridMultilevel"/>
    <w:tmpl w:val="3A740254"/>
    <w:lvl w:ilvl="0" w:tplc="0444000F">
      <w:start w:val="1"/>
      <w:numFmt w:val="decimal"/>
      <w:lvlText w:val="%1."/>
      <w:lvlJc w:val="left"/>
      <w:pPr>
        <w:ind w:left="720" w:hanging="360"/>
      </w:p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B500E"/>
    <w:multiLevelType w:val="hybridMultilevel"/>
    <w:tmpl w:val="BA4215AE"/>
    <w:lvl w:ilvl="0" w:tplc="0EC876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6894043-e59e-4e06-985b-ecef1c729278"/>
  </w:docVars>
  <w:rsids>
    <w:rsidRoot w:val="006D701F"/>
    <w:rsid w:val="0001055D"/>
    <w:rsid w:val="00020F0C"/>
    <w:rsid w:val="00037477"/>
    <w:rsid w:val="000415B6"/>
    <w:rsid w:val="0004571A"/>
    <w:rsid w:val="0004730E"/>
    <w:rsid w:val="0005706D"/>
    <w:rsid w:val="00063234"/>
    <w:rsid w:val="00064236"/>
    <w:rsid w:val="00066695"/>
    <w:rsid w:val="000677DA"/>
    <w:rsid w:val="00072C2A"/>
    <w:rsid w:val="0008319C"/>
    <w:rsid w:val="000854E0"/>
    <w:rsid w:val="000856E0"/>
    <w:rsid w:val="0008643E"/>
    <w:rsid w:val="00094C8E"/>
    <w:rsid w:val="00097896"/>
    <w:rsid w:val="000A05DD"/>
    <w:rsid w:val="000A3750"/>
    <w:rsid w:val="000B2834"/>
    <w:rsid w:val="000B35C9"/>
    <w:rsid w:val="000C0E34"/>
    <w:rsid w:val="000C1001"/>
    <w:rsid w:val="000C6742"/>
    <w:rsid w:val="000C7526"/>
    <w:rsid w:val="000D381C"/>
    <w:rsid w:val="000E0CD3"/>
    <w:rsid w:val="000F5643"/>
    <w:rsid w:val="001002B5"/>
    <w:rsid w:val="00101CE9"/>
    <w:rsid w:val="00102C6A"/>
    <w:rsid w:val="001030DC"/>
    <w:rsid w:val="0010447D"/>
    <w:rsid w:val="00110658"/>
    <w:rsid w:val="001271ED"/>
    <w:rsid w:val="001343CB"/>
    <w:rsid w:val="00135EA9"/>
    <w:rsid w:val="00136E82"/>
    <w:rsid w:val="00142F2C"/>
    <w:rsid w:val="0015342C"/>
    <w:rsid w:val="00162746"/>
    <w:rsid w:val="00164E86"/>
    <w:rsid w:val="00165591"/>
    <w:rsid w:val="00167CF5"/>
    <w:rsid w:val="001706D8"/>
    <w:rsid w:val="00173B08"/>
    <w:rsid w:val="0017455A"/>
    <w:rsid w:val="00177000"/>
    <w:rsid w:val="00184104"/>
    <w:rsid w:val="0018613F"/>
    <w:rsid w:val="00192698"/>
    <w:rsid w:val="001C0AE9"/>
    <w:rsid w:val="001C6668"/>
    <w:rsid w:val="001E1E32"/>
    <w:rsid w:val="001E43ED"/>
    <w:rsid w:val="001E5382"/>
    <w:rsid w:val="001E5F3B"/>
    <w:rsid w:val="001F14E5"/>
    <w:rsid w:val="001F39C7"/>
    <w:rsid w:val="001F62A4"/>
    <w:rsid w:val="002031B7"/>
    <w:rsid w:val="002125FD"/>
    <w:rsid w:val="00212DEA"/>
    <w:rsid w:val="00213808"/>
    <w:rsid w:val="00223682"/>
    <w:rsid w:val="002365F3"/>
    <w:rsid w:val="002369F6"/>
    <w:rsid w:val="002376DA"/>
    <w:rsid w:val="00245E9D"/>
    <w:rsid w:val="002521D0"/>
    <w:rsid w:val="00255268"/>
    <w:rsid w:val="00262DF7"/>
    <w:rsid w:val="0027005A"/>
    <w:rsid w:val="00276AB6"/>
    <w:rsid w:val="0027771B"/>
    <w:rsid w:val="00282D81"/>
    <w:rsid w:val="0028446D"/>
    <w:rsid w:val="002846F6"/>
    <w:rsid w:val="002A1338"/>
    <w:rsid w:val="002A67D9"/>
    <w:rsid w:val="002C60E3"/>
    <w:rsid w:val="002C6102"/>
    <w:rsid w:val="002C6BD0"/>
    <w:rsid w:val="002D1F67"/>
    <w:rsid w:val="002D6467"/>
    <w:rsid w:val="0030523B"/>
    <w:rsid w:val="003133D2"/>
    <w:rsid w:val="003140F5"/>
    <w:rsid w:val="0032233E"/>
    <w:rsid w:val="00322D3A"/>
    <w:rsid w:val="0033197E"/>
    <w:rsid w:val="003423A5"/>
    <w:rsid w:val="00347DFD"/>
    <w:rsid w:val="00350BC2"/>
    <w:rsid w:val="0035515E"/>
    <w:rsid w:val="00361873"/>
    <w:rsid w:val="00361B1D"/>
    <w:rsid w:val="00364B21"/>
    <w:rsid w:val="00376EA5"/>
    <w:rsid w:val="0038015E"/>
    <w:rsid w:val="003848AF"/>
    <w:rsid w:val="00390EF5"/>
    <w:rsid w:val="0039463B"/>
    <w:rsid w:val="003A3534"/>
    <w:rsid w:val="003A7009"/>
    <w:rsid w:val="003C3CB3"/>
    <w:rsid w:val="003C4975"/>
    <w:rsid w:val="003D69FF"/>
    <w:rsid w:val="003E4327"/>
    <w:rsid w:val="003E4FEA"/>
    <w:rsid w:val="003E56EA"/>
    <w:rsid w:val="003F02CA"/>
    <w:rsid w:val="003F07D7"/>
    <w:rsid w:val="00401F99"/>
    <w:rsid w:val="00407F46"/>
    <w:rsid w:val="0041493B"/>
    <w:rsid w:val="00423A50"/>
    <w:rsid w:val="00440114"/>
    <w:rsid w:val="004506C0"/>
    <w:rsid w:val="00451675"/>
    <w:rsid w:val="00453AD6"/>
    <w:rsid w:val="0045597F"/>
    <w:rsid w:val="00460C09"/>
    <w:rsid w:val="0046684C"/>
    <w:rsid w:val="00475887"/>
    <w:rsid w:val="0047745F"/>
    <w:rsid w:val="00484CE6"/>
    <w:rsid w:val="00497264"/>
    <w:rsid w:val="004A1100"/>
    <w:rsid w:val="004A4E19"/>
    <w:rsid w:val="004B1F3E"/>
    <w:rsid w:val="004B2505"/>
    <w:rsid w:val="004B3600"/>
    <w:rsid w:val="004B7F1C"/>
    <w:rsid w:val="004C3AE3"/>
    <w:rsid w:val="004D0F65"/>
    <w:rsid w:val="004D3167"/>
    <w:rsid w:val="004E2A76"/>
    <w:rsid w:val="004E4EE8"/>
    <w:rsid w:val="004E5EF1"/>
    <w:rsid w:val="004E600B"/>
    <w:rsid w:val="004F1AF0"/>
    <w:rsid w:val="004F7A66"/>
    <w:rsid w:val="004F7D35"/>
    <w:rsid w:val="005004A0"/>
    <w:rsid w:val="0050662E"/>
    <w:rsid w:val="00511175"/>
    <w:rsid w:val="00517EE5"/>
    <w:rsid w:val="00525B9B"/>
    <w:rsid w:val="0053013B"/>
    <w:rsid w:val="00532022"/>
    <w:rsid w:val="00547142"/>
    <w:rsid w:val="00547F2C"/>
    <w:rsid w:val="00550C88"/>
    <w:rsid w:val="00560373"/>
    <w:rsid w:val="00570BC4"/>
    <w:rsid w:val="005721B4"/>
    <w:rsid w:val="00576F5F"/>
    <w:rsid w:val="005859DD"/>
    <w:rsid w:val="005A084C"/>
    <w:rsid w:val="005A2AB7"/>
    <w:rsid w:val="005A34D4"/>
    <w:rsid w:val="005A742C"/>
    <w:rsid w:val="005B4EFB"/>
    <w:rsid w:val="005B648B"/>
    <w:rsid w:val="005C0D0F"/>
    <w:rsid w:val="005C6583"/>
    <w:rsid w:val="005D78C1"/>
    <w:rsid w:val="005D7CB8"/>
    <w:rsid w:val="005E0664"/>
    <w:rsid w:val="005F7F91"/>
    <w:rsid w:val="00602DC4"/>
    <w:rsid w:val="00605ABC"/>
    <w:rsid w:val="00606626"/>
    <w:rsid w:val="00606815"/>
    <w:rsid w:val="00615BAB"/>
    <w:rsid w:val="00617556"/>
    <w:rsid w:val="0062702E"/>
    <w:rsid w:val="00636F34"/>
    <w:rsid w:val="0064078F"/>
    <w:rsid w:val="00641AFF"/>
    <w:rsid w:val="0064663A"/>
    <w:rsid w:val="00646C6D"/>
    <w:rsid w:val="0064798F"/>
    <w:rsid w:val="00652233"/>
    <w:rsid w:val="006559A9"/>
    <w:rsid w:val="00657D1C"/>
    <w:rsid w:val="00664050"/>
    <w:rsid w:val="00666B04"/>
    <w:rsid w:val="00675C38"/>
    <w:rsid w:val="00682DD0"/>
    <w:rsid w:val="006851F3"/>
    <w:rsid w:val="006934EE"/>
    <w:rsid w:val="00697625"/>
    <w:rsid w:val="006B77F4"/>
    <w:rsid w:val="006C33C9"/>
    <w:rsid w:val="006C6B61"/>
    <w:rsid w:val="006D3A6D"/>
    <w:rsid w:val="006D3A7D"/>
    <w:rsid w:val="006D4A02"/>
    <w:rsid w:val="006D701F"/>
    <w:rsid w:val="006D72F5"/>
    <w:rsid w:val="006F48FC"/>
    <w:rsid w:val="006F6EC9"/>
    <w:rsid w:val="0070260B"/>
    <w:rsid w:val="00702DCA"/>
    <w:rsid w:val="00703553"/>
    <w:rsid w:val="00707B4E"/>
    <w:rsid w:val="00714F5D"/>
    <w:rsid w:val="00723962"/>
    <w:rsid w:val="00724538"/>
    <w:rsid w:val="00732380"/>
    <w:rsid w:val="00734105"/>
    <w:rsid w:val="00744567"/>
    <w:rsid w:val="0074596E"/>
    <w:rsid w:val="0075651D"/>
    <w:rsid w:val="00762729"/>
    <w:rsid w:val="00764AFF"/>
    <w:rsid w:val="00765B1E"/>
    <w:rsid w:val="007677E4"/>
    <w:rsid w:val="00782959"/>
    <w:rsid w:val="00783478"/>
    <w:rsid w:val="007858F3"/>
    <w:rsid w:val="007912D2"/>
    <w:rsid w:val="00794564"/>
    <w:rsid w:val="00796ED5"/>
    <w:rsid w:val="00797C1F"/>
    <w:rsid w:val="007A248A"/>
    <w:rsid w:val="007A3D14"/>
    <w:rsid w:val="007A4171"/>
    <w:rsid w:val="007A4BC2"/>
    <w:rsid w:val="007B0919"/>
    <w:rsid w:val="007C7998"/>
    <w:rsid w:val="007E0FB2"/>
    <w:rsid w:val="007E1042"/>
    <w:rsid w:val="007E4FDA"/>
    <w:rsid w:val="007E599D"/>
    <w:rsid w:val="007E7395"/>
    <w:rsid w:val="007F76C9"/>
    <w:rsid w:val="008123B9"/>
    <w:rsid w:val="00817C9F"/>
    <w:rsid w:val="00823706"/>
    <w:rsid w:val="00836227"/>
    <w:rsid w:val="00842E90"/>
    <w:rsid w:val="00845F77"/>
    <w:rsid w:val="00846264"/>
    <w:rsid w:val="008463BF"/>
    <w:rsid w:val="00850DD6"/>
    <w:rsid w:val="00852361"/>
    <w:rsid w:val="00854B53"/>
    <w:rsid w:val="0085621B"/>
    <w:rsid w:val="00867FC0"/>
    <w:rsid w:val="008730BF"/>
    <w:rsid w:val="00882172"/>
    <w:rsid w:val="00883685"/>
    <w:rsid w:val="0088382A"/>
    <w:rsid w:val="00885375"/>
    <w:rsid w:val="00892932"/>
    <w:rsid w:val="00894769"/>
    <w:rsid w:val="0089610F"/>
    <w:rsid w:val="008A1DB7"/>
    <w:rsid w:val="008A5FAE"/>
    <w:rsid w:val="008B31CC"/>
    <w:rsid w:val="008C21F0"/>
    <w:rsid w:val="008D0DDC"/>
    <w:rsid w:val="008D6A00"/>
    <w:rsid w:val="008D7379"/>
    <w:rsid w:val="008E690F"/>
    <w:rsid w:val="008F2997"/>
    <w:rsid w:val="00915E16"/>
    <w:rsid w:val="00924730"/>
    <w:rsid w:val="00935CB7"/>
    <w:rsid w:val="00936C46"/>
    <w:rsid w:val="009378F9"/>
    <w:rsid w:val="00937B29"/>
    <w:rsid w:val="009403FE"/>
    <w:rsid w:val="00941598"/>
    <w:rsid w:val="00942CAC"/>
    <w:rsid w:val="00947B53"/>
    <w:rsid w:val="00953A1D"/>
    <w:rsid w:val="00961559"/>
    <w:rsid w:val="00962C14"/>
    <w:rsid w:val="00967498"/>
    <w:rsid w:val="00972B01"/>
    <w:rsid w:val="00972FC0"/>
    <w:rsid w:val="0098196E"/>
    <w:rsid w:val="00983566"/>
    <w:rsid w:val="0098662D"/>
    <w:rsid w:val="00986AFA"/>
    <w:rsid w:val="009905AC"/>
    <w:rsid w:val="00993EE6"/>
    <w:rsid w:val="0099485F"/>
    <w:rsid w:val="009961B3"/>
    <w:rsid w:val="009A4E2F"/>
    <w:rsid w:val="009B26AB"/>
    <w:rsid w:val="009B3C16"/>
    <w:rsid w:val="009B7A64"/>
    <w:rsid w:val="009C0DB8"/>
    <w:rsid w:val="009C5EA8"/>
    <w:rsid w:val="009C7A75"/>
    <w:rsid w:val="009D4411"/>
    <w:rsid w:val="009D7A09"/>
    <w:rsid w:val="009E5DCC"/>
    <w:rsid w:val="009F44DE"/>
    <w:rsid w:val="009F5B56"/>
    <w:rsid w:val="00A212BE"/>
    <w:rsid w:val="00A27959"/>
    <w:rsid w:val="00A559A4"/>
    <w:rsid w:val="00A6559D"/>
    <w:rsid w:val="00A7336B"/>
    <w:rsid w:val="00A77E7F"/>
    <w:rsid w:val="00A84E29"/>
    <w:rsid w:val="00A86C78"/>
    <w:rsid w:val="00A87C06"/>
    <w:rsid w:val="00A9110D"/>
    <w:rsid w:val="00A96C04"/>
    <w:rsid w:val="00AA0AF7"/>
    <w:rsid w:val="00AA1A16"/>
    <w:rsid w:val="00AA350D"/>
    <w:rsid w:val="00AA4C55"/>
    <w:rsid w:val="00AB0CD2"/>
    <w:rsid w:val="00AB0FA6"/>
    <w:rsid w:val="00AB2C43"/>
    <w:rsid w:val="00AB4DD9"/>
    <w:rsid w:val="00AC206A"/>
    <w:rsid w:val="00AC3E65"/>
    <w:rsid w:val="00AC5714"/>
    <w:rsid w:val="00AC744D"/>
    <w:rsid w:val="00AD53FA"/>
    <w:rsid w:val="00AD6A95"/>
    <w:rsid w:val="00AD6DCB"/>
    <w:rsid w:val="00AE02E5"/>
    <w:rsid w:val="00AE5AFC"/>
    <w:rsid w:val="00AE74F6"/>
    <w:rsid w:val="00AF0C27"/>
    <w:rsid w:val="00AF0E4C"/>
    <w:rsid w:val="00AF22E3"/>
    <w:rsid w:val="00B041D9"/>
    <w:rsid w:val="00B06F65"/>
    <w:rsid w:val="00B166EA"/>
    <w:rsid w:val="00B252E7"/>
    <w:rsid w:val="00B25358"/>
    <w:rsid w:val="00B4014B"/>
    <w:rsid w:val="00B40FEC"/>
    <w:rsid w:val="00B61BE9"/>
    <w:rsid w:val="00B70F9A"/>
    <w:rsid w:val="00B713F7"/>
    <w:rsid w:val="00B730BE"/>
    <w:rsid w:val="00B7378D"/>
    <w:rsid w:val="00B8309D"/>
    <w:rsid w:val="00B85FF6"/>
    <w:rsid w:val="00B93B98"/>
    <w:rsid w:val="00BA0AF2"/>
    <w:rsid w:val="00BA7453"/>
    <w:rsid w:val="00BB2DD0"/>
    <w:rsid w:val="00BB2EC6"/>
    <w:rsid w:val="00BE0A2E"/>
    <w:rsid w:val="00BE15B7"/>
    <w:rsid w:val="00BF0D27"/>
    <w:rsid w:val="00BF3A5E"/>
    <w:rsid w:val="00BF7FC6"/>
    <w:rsid w:val="00C04C3D"/>
    <w:rsid w:val="00C06605"/>
    <w:rsid w:val="00C25C89"/>
    <w:rsid w:val="00C30208"/>
    <w:rsid w:val="00C340C3"/>
    <w:rsid w:val="00C4013C"/>
    <w:rsid w:val="00C52FE5"/>
    <w:rsid w:val="00C532A7"/>
    <w:rsid w:val="00C5727E"/>
    <w:rsid w:val="00C6143D"/>
    <w:rsid w:val="00C7635B"/>
    <w:rsid w:val="00C8379A"/>
    <w:rsid w:val="00C87034"/>
    <w:rsid w:val="00C879E0"/>
    <w:rsid w:val="00C9736A"/>
    <w:rsid w:val="00CA2C65"/>
    <w:rsid w:val="00CA2D57"/>
    <w:rsid w:val="00CC53FA"/>
    <w:rsid w:val="00CD7DCD"/>
    <w:rsid w:val="00CD7DE2"/>
    <w:rsid w:val="00CE37CE"/>
    <w:rsid w:val="00CE4BC5"/>
    <w:rsid w:val="00CF22F7"/>
    <w:rsid w:val="00D07109"/>
    <w:rsid w:val="00D07DFA"/>
    <w:rsid w:val="00D11456"/>
    <w:rsid w:val="00D166D8"/>
    <w:rsid w:val="00D16E99"/>
    <w:rsid w:val="00D220A2"/>
    <w:rsid w:val="00D25D6C"/>
    <w:rsid w:val="00D269F0"/>
    <w:rsid w:val="00D357DB"/>
    <w:rsid w:val="00D41843"/>
    <w:rsid w:val="00D41FDA"/>
    <w:rsid w:val="00D46EE3"/>
    <w:rsid w:val="00D502A8"/>
    <w:rsid w:val="00D51C35"/>
    <w:rsid w:val="00D57B38"/>
    <w:rsid w:val="00D61475"/>
    <w:rsid w:val="00D7038F"/>
    <w:rsid w:val="00D712AD"/>
    <w:rsid w:val="00D73321"/>
    <w:rsid w:val="00D73C34"/>
    <w:rsid w:val="00D761DE"/>
    <w:rsid w:val="00D77AF8"/>
    <w:rsid w:val="00D77E31"/>
    <w:rsid w:val="00D831B7"/>
    <w:rsid w:val="00D84F06"/>
    <w:rsid w:val="00D8626F"/>
    <w:rsid w:val="00D92C2A"/>
    <w:rsid w:val="00D97083"/>
    <w:rsid w:val="00DA3D1B"/>
    <w:rsid w:val="00DA50BC"/>
    <w:rsid w:val="00DB0F27"/>
    <w:rsid w:val="00DC687D"/>
    <w:rsid w:val="00DD07C4"/>
    <w:rsid w:val="00DD08B7"/>
    <w:rsid w:val="00DD226F"/>
    <w:rsid w:val="00DE2FE2"/>
    <w:rsid w:val="00DF2B5C"/>
    <w:rsid w:val="00DF33AC"/>
    <w:rsid w:val="00E01FD3"/>
    <w:rsid w:val="00E032BF"/>
    <w:rsid w:val="00E0392F"/>
    <w:rsid w:val="00E067C2"/>
    <w:rsid w:val="00E111D5"/>
    <w:rsid w:val="00E113F0"/>
    <w:rsid w:val="00E12C3E"/>
    <w:rsid w:val="00E2298B"/>
    <w:rsid w:val="00E26F94"/>
    <w:rsid w:val="00E30800"/>
    <w:rsid w:val="00E31181"/>
    <w:rsid w:val="00E32F86"/>
    <w:rsid w:val="00E44157"/>
    <w:rsid w:val="00E47A85"/>
    <w:rsid w:val="00E509DA"/>
    <w:rsid w:val="00E646A6"/>
    <w:rsid w:val="00E64836"/>
    <w:rsid w:val="00E65650"/>
    <w:rsid w:val="00E6657D"/>
    <w:rsid w:val="00E67334"/>
    <w:rsid w:val="00E70309"/>
    <w:rsid w:val="00E70A4E"/>
    <w:rsid w:val="00E716DF"/>
    <w:rsid w:val="00E73CFF"/>
    <w:rsid w:val="00E75BB5"/>
    <w:rsid w:val="00E84D09"/>
    <w:rsid w:val="00E85C22"/>
    <w:rsid w:val="00EA2941"/>
    <w:rsid w:val="00EB27D6"/>
    <w:rsid w:val="00EC2740"/>
    <w:rsid w:val="00EC54C2"/>
    <w:rsid w:val="00EC55FF"/>
    <w:rsid w:val="00EC6039"/>
    <w:rsid w:val="00EC726D"/>
    <w:rsid w:val="00ED453E"/>
    <w:rsid w:val="00EE033F"/>
    <w:rsid w:val="00EE2DA8"/>
    <w:rsid w:val="00EE7123"/>
    <w:rsid w:val="00EF0700"/>
    <w:rsid w:val="00EF13E8"/>
    <w:rsid w:val="00EF28CC"/>
    <w:rsid w:val="00EF7C53"/>
    <w:rsid w:val="00F07449"/>
    <w:rsid w:val="00F10D52"/>
    <w:rsid w:val="00F13D0C"/>
    <w:rsid w:val="00F14FCE"/>
    <w:rsid w:val="00F201C7"/>
    <w:rsid w:val="00F2497F"/>
    <w:rsid w:val="00F25698"/>
    <w:rsid w:val="00F376E0"/>
    <w:rsid w:val="00F4468B"/>
    <w:rsid w:val="00F458CA"/>
    <w:rsid w:val="00F50673"/>
    <w:rsid w:val="00F51474"/>
    <w:rsid w:val="00F53CE4"/>
    <w:rsid w:val="00F5616D"/>
    <w:rsid w:val="00F56F8A"/>
    <w:rsid w:val="00F61DC2"/>
    <w:rsid w:val="00F658D8"/>
    <w:rsid w:val="00F85485"/>
    <w:rsid w:val="00F9559A"/>
    <w:rsid w:val="00F95F5A"/>
    <w:rsid w:val="00FA7DB7"/>
    <w:rsid w:val="00FB4B90"/>
    <w:rsid w:val="00FC14C1"/>
    <w:rsid w:val="00FC2399"/>
    <w:rsid w:val="00FC5573"/>
    <w:rsid w:val="00FC5852"/>
    <w:rsid w:val="00FD00FA"/>
    <w:rsid w:val="00FD3AFE"/>
    <w:rsid w:val="00FD4594"/>
    <w:rsid w:val="00FD505B"/>
    <w:rsid w:val="00FD7505"/>
    <w:rsid w:val="00FE008E"/>
    <w:rsid w:val="00FE2D44"/>
    <w:rsid w:val="00FE38FF"/>
    <w:rsid w:val="00FE466B"/>
    <w:rsid w:val="00FE643A"/>
    <w:rsid w:val="00FF01F9"/>
    <w:rsid w:val="00FF1C2B"/>
    <w:rsid w:val="00FF273F"/>
    <w:rsid w:val="00FF373C"/>
    <w:rsid w:val="00FF40E4"/>
    <w:rsid w:val="00FF484B"/>
    <w:rsid w:val="00FF6B5D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2F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750"/>
  </w:style>
  <w:style w:type="paragraph" w:styleId="a6">
    <w:name w:val="footer"/>
    <w:basedOn w:val="a"/>
    <w:link w:val="a7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750"/>
  </w:style>
  <w:style w:type="paragraph" w:customStyle="1" w:styleId="formattext">
    <w:name w:val="formattext"/>
    <w:basedOn w:val="a"/>
    <w:rsid w:val="00D4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0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A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53C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A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41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d">
    <w:name w:val="Нормальный"/>
    <w:rsid w:val="00B25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styleId="ae">
    <w:name w:val="Title"/>
    <w:basedOn w:val="a"/>
    <w:next w:val="a"/>
    <w:link w:val="af"/>
    <w:uiPriority w:val="99"/>
    <w:qFormat/>
    <w:rsid w:val="00B25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252E7"/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character" w:styleId="af0">
    <w:name w:val="Placeholder Text"/>
    <w:basedOn w:val="a0"/>
    <w:uiPriority w:val="99"/>
    <w:semiHidden/>
    <w:rsid w:val="00347D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2F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750"/>
  </w:style>
  <w:style w:type="paragraph" w:styleId="a6">
    <w:name w:val="footer"/>
    <w:basedOn w:val="a"/>
    <w:link w:val="a7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750"/>
  </w:style>
  <w:style w:type="paragraph" w:customStyle="1" w:styleId="formattext">
    <w:name w:val="formattext"/>
    <w:basedOn w:val="a"/>
    <w:rsid w:val="00D4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0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A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53C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A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41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d">
    <w:name w:val="Нормальный"/>
    <w:rsid w:val="00B25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styleId="ae">
    <w:name w:val="Title"/>
    <w:basedOn w:val="a"/>
    <w:next w:val="a"/>
    <w:link w:val="af"/>
    <w:uiPriority w:val="99"/>
    <w:qFormat/>
    <w:rsid w:val="00B25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252E7"/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character" w:styleId="af0">
    <w:name w:val="Placeholder Text"/>
    <w:basedOn w:val="a0"/>
    <w:uiPriority w:val="99"/>
    <w:semiHidden/>
    <w:rsid w:val="00347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inzem.rtyva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FEE3-228C-4705-B92C-304C91A0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2025-01-20T01:55:00Z</cp:lastPrinted>
  <dcterms:created xsi:type="dcterms:W3CDTF">2025-01-20T01:56:00Z</dcterms:created>
  <dcterms:modified xsi:type="dcterms:W3CDTF">2025-01-20T01:56:00Z</dcterms:modified>
</cp:coreProperties>
</file>