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55" w:rsidRDefault="000F2355" w:rsidP="000F235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2355" w:rsidRDefault="000F2355" w:rsidP="000F235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2355" w:rsidRDefault="000F2355" w:rsidP="000F23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2355" w:rsidRPr="0025472A" w:rsidRDefault="000F2355" w:rsidP="000F23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F2355" w:rsidRPr="004C14FF" w:rsidRDefault="000F2355" w:rsidP="000F235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A10AD" w:rsidRDefault="005A10AD" w:rsidP="005A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355" w:rsidRDefault="000F2355" w:rsidP="005A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C97" w:rsidRPr="00F71C97" w:rsidRDefault="00F71C97" w:rsidP="00F71C97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F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F71C97" w:rsidRPr="00F71C97" w:rsidRDefault="00F71C97" w:rsidP="00F71C97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5A10AD" w:rsidRPr="005A10AD" w:rsidRDefault="005A10AD" w:rsidP="005A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0AD" w:rsidRDefault="0013591C" w:rsidP="005A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10A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</w:t>
      </w:r>
    </w:p>
    <w:p w:rsidR="005A10AD" w:rsidRDefault="0013591C" w:rsidP="005A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D">
        <w:rPr>
          <w:rFonts w:ascii="Times New Roman" w:hAnsi="Times New Roman" w:cs="Times New Roman"/>
          <w:b/>
          <w:sz w:val="28"/>
          <w:szCs w:val="28"/>
        </w:rPr>
        <w:t xml:space="preserve">региональном государственном контроле </w:t>
      </w:r>
    </w:p>
    <w:p w:rsidR="005A10AD" w:rsidRDefault="0013591C" w:rsidP="005A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D">
        <w:rPr>
          <w:rFonts w:ascii="Times New Roman" w:hAnsi="Times New Roman" w:cs="Times New Roman"/>
          <w:b/>
          <w:sz w:val="28"/>
          <w:szCs w:val="28"/>
        </w:rPr>
        <w:t xml:space="preserve">(надзоре) в области долевого строительства </w:t>
      </w:r>
    </w:p>
    <w:p w:rsidR="005A10AD" w:rsidRDefault="0013591C" w:rsidP="005A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D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 и (или) </w:t>
      </w:r>
    </w:p>
    <w:p w:rsidR="005A10AD" w:rsidRDefault="0013591C" w:rsidP="005A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D">
        <w:rPr>
          <w:rFonts w:ascii="Times New Roman" w:hAnsi="Times New Roman" w:cs="Times New Roman"/>
          <w:b/>
          <w:sz w:val="28"/>
          <w:szCs w:val="28"/>
        </w:rPr>
        <w:t>иных объектов недвижимости на</w:t>
      </w:r>
    </w:p>
    <w:p w:rsidR="00152A29" w:rsidRPr="005A10AD" w:rsidRDefault="0013591C" w:rsidP="005A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D">
        <w:rPr>
          <w:rFonts w:ascii="Times New Roman" w:hAnsi="Times New Roman" w:cs="Times New Roman"/>
          <w:b/>
          <w:sz w:val="28"/>
          <w:szCs w:val="28"/>
        </w:rPr>
        <w:t xml:space="preserve"> территории Республики Тыва</w:t>
      </w:r>
      <w:bookmarkEnd w:id="0"/>
    </w:p>
    <w:p w:rsidR="0013591C" w:rsidRDefault="0013591C" w:rsidP="005A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0AD" w:rsidRPr="005A10AD" w:rsidRDefault="005A10AD" w:rsidP="005A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C24" w:rsidRDefault="00D02C24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723F25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69B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3 части 2 статьи 3, частью 2 статьи 40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723F25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02569B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 ПОСТАНОВЛЯЕТ:</w:t>
      </w:r>
    </w:p>
    <w:p w:rsidR="008F4B70" w:rsidRPr="00CF7308" w:rsidRDefault="008F4B70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4DC" w:rsidRPr="00CF7308" w:rsidRDefault="006304DC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Внести в Положение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Республики Тыва, утвержденное постановлением Пр</w:t>
      </w:r>
      <w:r w:rsidR="00723F25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авительства Республики Тыва от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723F25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2021 г. № 653, следующие изменения:</w:t>
      </w:r>
    </w:p>
    <w:p w:rsidR="00517B61" w:rsidRPr="00CF7308" w:rsidRDefault="00DD5A29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23F25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17B61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пункт 20 изложить в следующей редакции:</w:t>
      </w:r>
    </w:p>
    <w:p w:rsidR="00517B61" w:rsidRPr="00CF7308" w:rsidRDefault="00517B61" w:rsidP="00232C8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«20. Предостережение о недопустимости нарушения обязательных требований объявляется и направляется контролируемому лицу в порядке, преду</w:t>
      </w:r>
      <w:r w:rsidR="008F4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смотренном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CF73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0F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государственном</w:t>
      </w:r>
      <w:r w:rsidR="000F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контроле </w:t>
      </w:r>
      <w:r w:rsidR="000F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(надзоре)</w:t>
      </w:r>
      <w:r w:rsidR="000F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муниципальном контроле в Российской Федерации», и должно содержать указание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требований.»;</w:t>
      </w:r>
    </w:p>
    <w:p w:rsidR="00E8243E" w:rsidRPr="00CF7308" w:rsidRDefault="00DD5A29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7B61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8243E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пункт 26 изложить в следующей редакции:</w:t>
      </w:r>
    </w:p>
    <w:p w:rsidR="00E8243E" w:rsidRPr="00CF7308" w:rsidRDefault="00E8243E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«26. Профилактический визит проводится в форме профилактической беседы должностным лицом Службы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F85F30" w:rsidRPr="00CF7308" w:rsidRDefault="00E8243E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Службы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311E0" w:rsidRPr="00CF7308" w:rsidRDefault="00E8243E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Профилактический визит проводится по инициативе Службы </w:t>
      </w:r>
      <w:r w:rsidR="00F85F3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(обязательный профилактический визит)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или по инициативе контролируемого лица.</w:t>
      </w:r>
    </w:p>
    <w:p w:rsidR="00E8243E" w:rsidRPr="00CF7308" w:rsidRDefault="00E8243E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 w:rsidR="00B311E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11E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558F" w:rsidRPr="00CF7308" w:rsidRDefault="00DD5A29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311E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B7F2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пунктами 26</w:t>
      </w:r>
      <w:r w:rsidR="00415F3A" w:rsidRPr="00CB7F2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CB7F2F">
        <w:rPr>
          <w:rFonts w:ascii="Times New Roman" w:hAnsi="Times New Roman" w:cs="Times New Roman"/>
          <w:color w:val="000000" w:themeColor="text1"/>
          <w:sz w:val="28"/>
          <w:szCs w:val="28"/>
        </w:rPr>
        <w:t>-26</w:t>
      </w:r>
      <w:r w:rsidR="00CB7F2F" w:rsidRPr="00CB7F2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6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E1558F" w:rsidRPr="00CF7308" w:rsidRDefault="00B454C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7F2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1558F" w:rsidRPr="00CB7F2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E1558F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Обязательный профилактический визит проводится:</w:t>
      </w:r>
    </w:p>
    <w:p w:rsidR="00E1558F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</w:t>
      </w:r>
      <w:r w:rsidR="00E1558F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208D" w:rsidRPr="00CF7308" w:rsidRDefault="00591B21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9" w:history="1">
        <w:r w:rsidRPr="00CF730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E1558F" w:rsidRPr="00CF7308" w:rsidRDefault="0056208D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415F3A" w:rsidRPr="00CF7308" w:rsidRDefault="0056208D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) по поручению:</w:t>
      </w:r>
    </w:p>
    <w:p w:rsidR="00415F3A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а) Президента Российской Федерации;</w:t>
      </w:r>
    </w:p>
    <w:p w:rsidR="00415F3A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</w:t>
      </w:r>
      <w:r w:rsidR="008F4B7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415F3A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в) высшего должностного лица субъекта Российской Федерации</w:t>
      </w:r>
      <w:r w:rsidR="008D389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558F" w:rsidRPr="00CF7308" w:rsidRDefault="00CB7F2F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CB7F2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415F3A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обязательного профилактического визита </w:t>
      </w:r>
      <w:r w:rsidR="00E1558F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Службы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415F3A" w:rsidRPr="00CF7308" w:rsidRDefault="00CB7F2F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CB7F2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B454C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0AA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в соответствии с частью 7 </w:t>
      </w:r>
      <w:r w:rsidR="009011D2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статьи 52.1 Федерального закона «О государственном контроле (надзоре) и муниципальном контроле в Российской Федерации»</w:t>
      </w:r>
      <w:r w:rsidR="00330AA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69D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DF569D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</w:t>
      </w:r>
      <w:r w:rsidR="008F4B7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обязательного профилактического визита) в порядке, предусмотренном статьей 90 Федерального закона</w:t>
      </w:r>
      <w:r w:rsidR="00DF569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контр</w:t>
      </w:r>
      <w:r w:rsidR="00DF569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ольных (надзорных) мероприятий.</w:t>
      </w:r>
    </w:p>
    <w:p w:rsidR="00DF569D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</w:t>
      </w:r>
      <w:r w:rsidR="00DF569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контрольных (надзорных) мероприятий.</w:t>
      </w:r>
    </w:p>
    <w:p w:rsidR="00DF569D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DF569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 Службы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частью 10 статьи 65 Федерального закона </w:t>
      </w:r>
      <w:r w:rsidR="00DF569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для контрольных (надзорных) мероприятий.</w:t>
      </w:r>
    </w:p>
    <w:p w:rsidR="00DF569D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DF569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DF569D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</w:r>
      <w:r w:rsidR="00DF569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DF569D" w:rsidRPr="00CF7308" w:rsidRDefault="00D134AE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D134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</w:r>
      <w:r w:rsidR="00DF569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муниципальным учреждением.</w:t>
      </w:r>
    </w:p>
    <w:p w:rsidR="003D1CA6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подает заявление о проведении профилактического визита (далее </w:t>
      </w:r>
      <w:r w:rsidR="008F4B7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заявление) посредством единого портала государственных и муниципальных услуг или регионального портала государственных и муниципальных услуг. </w:t>
      </w:r>
      <w:r w:rsidR="00DF569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3D1CA6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3D1CA6" w:rsidRPr="00CF7308" w:rsidRDefault="00D134AE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D134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3D1CA6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заявления;</w:t>
      </w:r>
    </w:p>
    <w:p w:rsidR="003D1CA6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D1CA6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течение года до даты подачи заявления </w:t>
      </w:r>
      <w:r w:rsidR="00850511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Службой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профилактический визит по ранее поданному заявлению;</w:t>
      </w:r>
    </w:p>
    <w:p w:rsidR="00415F3A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членов их семей.</w:t>
      </w:r>
    </w:p>
    <w:p w:rsidR="003D1CA6" w:rsidRPr="00CF7308" w:rsidRDefault="00D134AE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D134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6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 государственном контроле (надзоре) и муниципальном контроле в Российской Федерации».</w:t>
      </w:r>
    </w:p>
    <w:p w:rsidR="003D1CA6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Службу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чем за пять рабочих дней до даты его проведения.</w:t>
      </w:r>
    </w:p>
    <w:p w:rsidR="003D1CA6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профилактического визита при согласии контролируемого лица 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Службы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отбор проб (образцов), инструментальное обследование, испытание.</w:t>
      </w:r>
    </w:p>
    <w:p w:rsidR="003D1CA6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3D1CA6" w:rsidRPr="00CF7308" w:rsidRDefault="00415F3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емым лицам не могут выдаваться.</w:t>
      </w:r>
    </w:p>
    <w:p w:rsidR="009E3758" w:rsidRPr="00CF7308" w:rsidRDefault="00760EEB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B454C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Службы 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незамедлительно направляет информацию об этом уполномоченному должностному лицу</w:t>
      </w:r>
      <w:r w:rsidR="00B454C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о проведении контрольных (надзорных) мероприятий.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5F3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0849" w:rsidRPr="00CF7308" w:rsidRDefault="00B659AF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E608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29 слова «1,</w:t>
      </w:r>
      <w:r w:rsidR="007003E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8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1F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08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5 части 1</w:t>
      </w:r>
      <w:r w:rsidR="007003E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DDF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статьи 57</w:t>
      </w:r>
      <w:r w:rsidR="00E608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«1,</w:t>
      </w:r>
      <w:r w:rsidR="007003E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8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1F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08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части 1 и частью </w:t>
      </w:r>
      <w:r w:rsidR="007003E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6DDF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57</w:t>
      </w:r>
      <w:r w:rsidR="00E608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2A603E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0849" w:rsidRPr="00CF7308" w:rsidRDefault="00B659AF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E608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2A603E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 дополнить абзацем следующего содержания</w:t>
      </w:r>
      <w:r w:rsidR="00E608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0849" w:rsidRPr="00CF7308" w:rsidRDefault="00086DDF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«Внеплановая документарная проверка может проводиться только по </w:t>
      </w:r>
      <w:r w:rsidR="008F4B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согласованию с органами прокуратуры, за исключением случая ее проведения в соответствии с пунктами 3, 4, 6</w:t>
      </w:r>
      <w:r w:rsidR="0074062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, 8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статьи 57 Федерального закона</w:t>
      </w:r>
      <w:r w:rsidR="002A603E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B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603E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E4947" w:rsidRPr="00CF7308" w:rsidRDefault="00B659AF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DE4947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34:</w:t>
      </w:r>
    </w:p>
    <w:p w:rsidR="00086DDF" w:rsidRPr="00CF7308" w:rsidRDefault="00086DDF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слова «</w:t>
      </w:r>
      <w:r w:rsidR="003013F4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4B7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5 части 1 статьи 57» заменить словами «</w:t>
      </w:r>
      <w:r w:rsidR="003013F4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3013F4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013F4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4062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, 8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</w:t>
      </w:r>
      <w:r w:rsidR="003013F4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</w:t>
      </w:r>
      <w:r w:rsidR="008706C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57</w:t>
      </w:r>
      <w:r w:rsidR="003013F4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86DDF" w:rsidRPr="00CF7308" w:rsidRDefault="00B659AF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86DDF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</w:t>
      </w:r>
      <w:r w:rsidR="00DE4947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абзацем</w:t>
      </w:r>
      <w:r w:rsidR="00086DDF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75056E" w:rsidRPr="00CF7308" w:rsidRDefault="00086DDF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CC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Внеплановая в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</w:t>
      </w:r>
      <w:r w:rsidR="00FE5CC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мобильного приложения «Инспектор»</w:t>
      </w:r>
      <w:r w:rsidR="00DE4947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1C49" w:rsidRPr="00CF7308" w:rsidRDefault="005962B5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5056E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75056E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8B1C4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5056E" w:rsidRPr="00CF7308" w:rsidRDefault="005962B5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</w:t>
      </w:r>
      <w:r w:rsidR="0075056E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«, если иное не предусмотрено Федеральным законом «О государственном контроле (надзоре) и муниципальном контроле в Российской Федерации»;</w:t>
      </w:r>
    </w:p>
    <w:p w:rsidR="0056208D" w:rsidRPr="00CF7308" w:rsidRDefault="008B1C49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абзацем </w:t>
      </w:r>
      <w:r w:rsidR="006F6AEB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6F6AEB" w:rsidRPr="00CF7308" w:rsidRDefault="001866FC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«Служба</w:t>
      </w:r>
      <w:r w:rsidR="006F6AEB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наблюдение за соблюдением обязательных требований при размещении застройщиками в</w:t>
      </w:r>
      <w:r w:rsidR="0056208D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информационной системе жилищного строительства</w:t>
      </w:r>
      <w:r w:rsidR="006F6AEB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раскрытие (размещение, предоставление) которой пре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дусмотрено Федеральным законом </w:t>
      </w:r>
      <w:r w:rsidR="00DC587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="006F6AEB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иными нормативными правовыми актами в области долевого строительства многоквартирных домов и (или) иных объектов недвижимости, в порядке, установленном </w:t>
      </w:r>
      <w:r w:rsidR="00A45D20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74 Федерального закона </w:t>
      </w:r>
      <w:r w:rsidR="00DC587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6F6AEB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E49A6" w:rsidRPr="00CF7308" w:rsidRDefault="008B1C49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1CA6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раздел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5E49A6" w:rsidRPr="00CF7308" w:rsidRDefault="005E49A6" w:rsidP="00D81FD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«V. Обжалование решений контрольных (надзорных)</w:t>
      </w:r>
    </w:p>
    <w:p w:rsidR="005E49A6" w:rsidRPr="00CF7308" w:rsidRDefault="005E49A6" w:rsidP="00D81FD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органов, действий (бездействия) их должностных лиц</w:t>
      </w:r>
    </w:p>
    <w:p w:rsidR="005E49A6" w:rsidRPr="00CF7308" w:rsidRDefault="005E49A6" w:rsidP="00D81FD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E49A6" w:rsidRPr="00CF7308" w:rsidRDefault="00E91062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41.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Контролируемые лица, права и законные интересы котор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ых, по их мнению, были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непосредственно </w:t>
      </w:r>
      <w:r w:rsidR="0059018A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нарушены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осуществления государственного контроля (надзора), имеют право на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досудебное обжалование:</w:t>
      </w:r>
    </w:p>
    <w:p w:rsidR="0059018A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решений о проведении контрольных (надзорных) мероприятий</w:t>
      </w:r>
      <w:r w:rsidR="0059018A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018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обязательных профилактических визитов</w:t>
      </w:r>
      <w:r w:rsidR="0059018A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9018A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59018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действий (бездействия) должностных лиц </w:t>
      </w:r>
      <w:r w:rsidR="0059018A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Службы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рамках контрольных (надзорных)</w:t>
      </w:r>
      <w:r w:rsidR="0059018A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мероприятий</w:t>
      </w:r>
      <w:r w:rsidR="0059018A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018A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обязательных профилактических визитов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9018A" w:rsidRPr="00CF7308" w:rsidRDefault="0059018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об отнесении объектов контроля к соответствующей категории риска;</w:t>
      </w:r>
    </w:p>
    <w:p w:rsidR="0059018A" w:rsidRPr="00CF7308" w:rsidRDefault="0059018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59018A" w:rsidRPr="00CF7308" w:rsidRDefault="0059018A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иных решений, принимаемых Службой по итогам профилактических и (или) контрольных (надзорных) мероприятий, предусмотренных Федеральным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законом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</w:p>
    <w:p w:rsidR="005E49A6" w:rsidRPr="00CF7308" w:rsidRDefault="00E91062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42.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подается контролируемым лицом в электронном виде с использовани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ем единого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портала государственных и муниципальных услуг. При подаче жалобы </w:t>
      </w:r>
      <w:r w:rsidR="0059018A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гражданином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она должна быть подписана простой электронной подписью либо усиленной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квалифицированной электронной подписью. При подаче жалобы организацией она должна быть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подписана усиленной квалифицированной электронной подписью.</w:t>
      </w:r>
    </w:p>
    <w:p w:rsidR="005E49A6" w:rsidRPr="00CF7308" w:rsidRDefault="00E91062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43.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рассматриваются в следующем порядке:</w:t>
      </w:r>
    </w:p>
    <w:p w:rsidR="005E49A6" w:rsidRPr="00CF7308" w:rsidRDefault="00E91062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на решение Службы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действия (бездействие) его должностных лиц рассмат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ривается руководителем (заместителем руководителя)</w:t>
      </w:r>
      <w:r w:rsidR="00485CF5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Службы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жалоба на действия (бе</w:t>
      </w:r>
      <w:r w:rsidR="00E91062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здействие) руководителя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1062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(заместителя руководителя) </w:t>
      </w:r>
      <w:r w:rsidR="00FE5CCA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Службы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</w:t>
      </w:r>
      <w:r w:rsidR="00760EEB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Правительством Республики Тыва</w:t>
      </w:r>
      <w:r w:rsidR="00485CF5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A3B2D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45F2C" w:rsidRPr="00CF7308" w:rsidRDefault="0019148E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44. </w:t>
      </w:r>
      <w:r w:rsidR="00B45F2C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решение Службы, действия (бездействие)</w:t>
      </w:r>
      <w:r w:rsidR="00B45F2C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должностных лиц может быть подана в течение </w:t>
      </w:r>
      <w:r w:rsidR="00D134AE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45F2C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B45F2C" w:rsidRPr="00CF7308" w:rsidRDefault="0019148E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="00B45F2C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предписание Службы может быть подана в течение десяти рабочих дней с момента получения контролируемым лицом предписания.</w:t>
      </w:r>
    </w:p>
    <w:p w:rsidR="00B45F2C" w:rsidRPr="00CF7308" w:rsidRDefault="005306BD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 w:rsidR="00B45F2C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5E49A6" w:rsidRPr="00CF7308" w:rsidRDefault="005306BD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Лицо, подавшее жалобу, до принятия решения по жал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 может отозвать ее. При этом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повторное направление жалобы по тем же основаниям не допускается.</w:t>
      </w:r>
    </w:p>
    <w:p w:rsidR="005E49A6" w:rsidRPr="00CF7308" w:rsidRDefault="005306BD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Жалоба может содержать ходатайство о приостановлении исполнения обжалуемого решения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Службы.</w:t>
      </w:r>
    </w:p>
    <w:p w:rsidR="005E49A6" w:rsidRPr="00CF7308" w:rsidRDefault="005306BD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49. Руководитель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0EEB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Службы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срок не позднее двух рабочих дней со дня регистрации жалобы принимает решение:</w:t>
      </w:r>
      <w:r w:rsidR="001A3B2D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 приостановлении исполнения обжалуемого решения</w:t>
      </w:r>
      <w:r w:rsidR="001A3B2D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Службы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об отказе в приостановлении исполнения обжалуемого решения</w:t>
      </w:r>
      <w:r w:rsidR="001A3B2D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Службы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E49A6" w:rsidRPr="00CF7308" w:rsidRDefault="00485CF5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50.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о решении направляется лицу,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подавшему жалобу, в течение </w:t>
      </w:r>
      <w:r w:rsidR="001A3B2D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одного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</w:t>
      </w:r>
      <w:r w:rsidR="001A3B2D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</w:t>
      </w:r>
      <w:r w:rsidR="001A3B2D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момента принятия решения.</w:t>
      </w:r>
    </w:p>
    <w:p w:rsidR="005E49A6" w:rsidRPr="00CF7308" w:rsidRDefault="00042857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85CF5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Служба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принимает решение об отказе в рассмотрении жалобы в течение пяти рабочих дней с</w:t>
      </w:r>
      <w:r w:rsidR="004C6132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дня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получения жалобы в случаях, предусмотренных частью 1 статьи 42 Феде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рального закона </w:t>
      </w:r>
      <w:r w:rsidR="00DA7151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A7151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E49A6" w:rsidRPr="00CF7308" w:rsidRDefault="00042857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</w:t>
      </w:r>
      <w:r w:rsidR="00485CF5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Жалоба подлежит рассмотрению уполномоченным </w:t>
      </w:r>
      <w:r w:rsidR="00862918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органом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 </w:t>
      </w:r>
      <w:r w:rsidR="004C6132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рабочих дней со дня ее регистрации </w:t>
      </w:r>
      <w:r w:rsidR="00862918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подсистеме досудебного обжалования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E49A6" w:rsidRPr="00CF7308" w:rsidRDefault="00042857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85CF5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Служба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рассмотрении жалобы использует информ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ационную систему (подсистему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 информационной системы) досудебного обжалования контрольной (надзорной)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деятельности.</w:t>
      </w:r>
    </w:p>
    <w:p w:rsidR="005E49A6" w:rsidRPr="00CF7308" w:rsidRDefault="00042857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6235F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Служба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вправе запросить у контролируемого лица, подавшего жалобу, до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полнительную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информацию и документы, относящиеся к предмету жалобы. Контролируемое лицо вправе представить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указанные информацию и документы в течение пяти рабочих дней с момента направления запроса.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Течение срока рассмотрения жалобы приостанавливается с момента направле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запроса о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представлении дополнительных информации и документов, относящихся к предмету жалобы, до момента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получения их уполномоченным органом, но не более чем на пять рабочих дней с момента направления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запроса. Неполучение от контролируемого лица дополнительных информации и документов, относящихся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предмету жалобы, не является основанием для отказа в рассмотрении жалобы.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запрашивать у контролируемого лица, подавшего жалобу, информацию и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документы, которые находятся в распоряжении государственных органов, органов местного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самоуправления либо подведомственных им организаций.</w:t>
      </w:r>
      <w:r w:rsidR="00F11B2D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E49A6" w:rsidRPr="00CF7308" w:rsidRDefault="00042857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6235F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По итогам рассмотрения жалобы </w:t>
      </w:r>
      <w:r w:rsidR="00760EEB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руководитель Службы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принимает одно из следующих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решений: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оставляет жалобу без удовлетворения;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отменяет решение</w:t>
      </w:r>
      <w:r w:rsidR="004C6132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Службы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полностью или частично;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отменяет решение </w:t>
      </w:r>
      <w:r w:rsidR="004C6132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Службы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полностью и принимает новое решение;</w:t>
      </w:r>
    </w:p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признает действия (бездействие) должностных лиц 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Службы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незаконными и выносит решение по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существу, в том числе об осуществлении при необходимости определенных действий.</w:t>
      </w:r>
    </w:p>
    <w:p w:rsidR="005E49A6" w:rsidRPr="00CF7308" w:rsidRDefault="00042857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6235F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60EEB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Решение руководителя Службы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содержащее обос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нование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принятого решения, срок и порядок его исполнения, размещается в личном кабинете контролируемого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 на едином портале государственных и муниципальны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услуг в срок не позднее </w:t>
      </w:r>
      <w:r w:rsidR="00532F69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одного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</w:t>
      </w:r>
      <w:r w:rsidR="00532F69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</w:t>
      </w:r>
      <w:r w:rsidR="00532F69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5E49A6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 дня его принятия</w:t>
      </w:r>
      <w:r w:rsidR="004C6132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C6132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E49A6" w:rsidRPr="00CF7308" w:rsidRDefault="0002569B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525B59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таблицу 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47208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риложени</w:t>
      </w:r>
      <w:r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11B2D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1 изложить в следующей редакц</w:t>
      </w:r>
      <w:r w:rsidR="00042857" w:rsidRPr="00CF7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</w:t>
      </w:r>
    </w:p>
    <w:p w:rsidR="005E49A6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51B9" w:rsidRDefault="007C51B9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51B9" w:rsidRDefault="007C51B9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51B9" w:rsidRPr="00CF7308" w:rsidRDefault="007C51B9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d"/>
        <w:tblW w:w="1022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594"/>
        <w:gridCol w:w="2024"/>
        <w:gridCol w:w="2265"/>
        <w:gridCol w:w="4669"/>
        <w:gridCol w:w="345"/>
      </w:tblGrid>
      <w:tr w:rsidR="007C51B9" w:rsidRPr="00CF7308" w:rsidTr="007C51B9">
        <w:trPr>
          <w:gridAfter w:val="1"/>
          <w:wAfter w:w="345" w:type="dxa"/>
          <w:tblHeader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51B9" w:rsidRPr="00CF7308" w:rsidRDefault="007C51B9" w:rsidP="00525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lastRenderedPageBreak/>
              <w:t>«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BE1B38" w:rsidRPr="00CF7308" w:rsidRDefault="00BE1B38" w:rsidP="007C5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024" w:type="dxa"/>
          </w:tcPr>
          <w:p w:rsidR="00BE1B38" w:rsidRPr="00CF7308" w:rsidRDefault="00BE1B38" w:rsidP="007C5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Категория риска</w:t>
            </w:r>
          </w:p>
        </w:tc>
        <w:tc>
          <w:tcPr>
            <w:tcW w:w="2265" w:type="dxa"/>
          </w:tcPr>
          <w:p w:rsidR="00BE1B38" w:rsidRPr="00CF7308" w:rsidRDefault="00BE1B38" w:rsidP="007C5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Критерии отнесения к категории риска</w:t>
            </w:r>
          </w:p>
        </w:tc>
        <w:tc>
          <w:tcPr>
            <w:tcW w:w="4669" w:type="dxa"/>
          </w:tcPr>
          <w:p w:rsidR="00BE1B38" w:rsidRPr="00CF7308" w:rsidRDefault="00BE1B38" w:rsidP="007C5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Показатель риска</w:t>
            </w:r>
          </w:p>
        </w:tc>
      </w:tr>
      <w:tr w:rsidR="00CF7308" w:rsidRPr="00CF7308" w:rsidTr="007C51B9">
        <w:trPr>
          <w:gridBefore w:val="1"/>
          <w:gridAfter w:val="1"/>
          <w:wBefore w:w="330" w:type="dxa"/>
          <w:wAfter w:w="345" w:type="dxa"/>
          <w:jc w:val="center"/>
        </w:trPr>
        <w:tc>
          <w:tcPr>
            <w:tcW w:w="594" w:type="dxa"/>
            <w:vMerge w:val="restart"/>
          </w:tcPr>
          <w:p w:rsidR="00BE1B38" w:rsidRPr="00CF7308" w:rsidRDefault="00BE1B38" w:rsidP="00D8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024" w:type="dxa"/>
            <w:vMerge w:val="restart"/>
          </w:tcPr>
          <w:p w:rsidR="00BE1B38" w:rsidRPr="00CF7308" w:rsidRDefault="00BE1B38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Высокий риск (при соответствии обоим критериям)</w:t>
            </w:r>
          </w:p>
        </w:tc>
        <w:tc>
          <w:tcPr>
            <w:tcW w:w="2265" w:type="dxa"/>
          </w:tcPr>
          <w:p w:rsidR="00BE1B38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нарушение сроков</w:t>
            </w:r>
          </w:p>
        </w:tc>
        <w:tc>
          <w:tcPr>
            <w:tcW w:w="4669" w:type="dxa"/>
          </w:tcPr>
          <w:p w:rsidR="00BE1B38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нарушение срока исполнения обязательств по договорам участия в долевом строительстве на 12 и более меся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цев</w:t>
            </w:r>
          </w:p>
        </w:tc>
      </w:tr>
      <w:tr w:rsidR="00CF7308" w:rsidRPr="00CF7308" w:rsidTr="007C51B9">
        <w:trPr>
          <w:gridBefore w:val="1"/>
          <w:gridAfter w:val="1"/>
          <w:wBefore w:w="330" w:type="dxa"/>
          <w:wAfter w:w="345" w:type="dxa"/>
          <w:jc w:val="center"/>
        </w:trPr>
        <w:tc>
          <w:tcPr>
            <w:tcW w:w="594" w:type="dxa"/>
            <w:vMerge/>
          </w:tcPr>
          <w:p w:rsidR="00BE1B38" w:rsidRPr="00CF7308" w:rsidRDefault="00BE1B38" w:rsidP="00D8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024" w:type="dxa"/>
            <w:vMerge/>
          </w:tcPr>
          <w:p w:rsidR="00BE1B38" w:rsidRPr="00CF7308" w:rsidRDefault="00BE1B38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65" w:type="dxa"/>
          </w:tcPr>
          <w:p w:rsidR="00BE1B38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внеплановая проверка в течение предшествующего года</w:t>
            </w:r>
          </w:p>
        </w:tc>
        <w:tc>
          <w:tcPr>
            <w:tcW w:w="4669" w:type="dxa"/>
          </w:tcPr>
          <w:p w:rsidR="00BE1B38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наличие на дату принятия решения о присвоении категории риска, выданного жилищно-строительному кооперативу предписания о приостановлении деятельности жилищно-строительного кооператива по привлечению новых членов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оператива</w:t>
            </w:r>
          </w:p>
        </w:tc>
      </w:tr>
      <w:tr w:rsidR="00CF7308" w:rsidRPr="00CF7308" w:rsidTr="007C51B9">
        <w:trPr>
          <w:gridBefore w:val="1"/>
          <w:gridAfter w:val="1"/>
          <w:wBefore w:w="330" w:type="dxa"/>
          <w:wAfter w:w="345" w:type="dxa"/>
          <w:jc w:val="center"/>
        </w:trPr>
        <w:tc>
          <w:tcPr>
            <w:tcW w:w="594" w:type="dxa"/>
            <w:vMerge w:val="restart"/>
          </w:tcPr>
          <w:p w:rsidR="00BE1B38" w:rsidRPr="00CF7308" w:rsidRDefault="00BE1B38" w:rsidP="00D8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024" w:type="dxa"/>
            <w:vMerge w:val="restart"/>
          </w:tcPr>
          <w:p w:rsidR="00BE1B38" w:rsidRPr="00CF7308" w:rsidRDefault="00BE1B38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Средний риск (при соответствии обоим критериям)</w:t>
            </w:r>
          </w:p>
        </w:tc>
        <w:tc>
          <w:tcPr>
            <w:tcW w:w="2265" w:type="dxa"/>
            <w:vMerge w:val="restart"/>
          </w:tcPr>
          <w:p w:rsidR="00BE1B38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нарушение сроков</w:t>
            </w:r>
          </w:p>
        </w:tc>
        <w:tc>
          <w:tcPr>
            <w:tcW w:w="4669" w:type="dxa"/>
          </w:tcPr>
          <w:p w:rsidR="00BE1B38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нарушение срока исполнения обязательств по договорам участия в долевом строительстве от 1 до 12 меся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цев</w:t>
            </w:r>
          </w:p>
        </w:tc>
      </w:tr>
      <w:tr w:rsidR="00CF7308" w:rsidRPr="00CF7308" w:rsidTr="007C51B9">
        <w:trPr>
          <w:gridBefore w:val="1"/>
          <w:gridAfter w:val="1"/>
          <w:wBefore w:w="330" w:type="dxa"/>
          <w:wAfter w:w="345" w:type="dxa"/>
          <w:jc w:val="center"/>
        </w:trPr>
        <w:tc>
          <w:tcPr>
            <w:tcW w:w="594" w:type="dxa"/>
            <w:vMerge/>
          </w:tcPr>
          <w:p w:rsidR="00BE1B38" w:rsidRPr="00CF7308" w:rsidRDefault="00BE1B38" w:rsidP="00D8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024" w:type="dxa"/>
            <w:vMerge/>
          </w:tcPr>
          <w:p w:rsidR="00BE1B38" w:rsidRPr="00CF7308" w:rsidRDefault="00BE1B38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65" w:type="dxa"/>
            <w:vMerge/>
          </w:tcPr>
          <w:p w:rsidR="00BE1B38" w:rsidRPr="00CF7308" w:rsidRDefault="00BE1B38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4669" w:type="dxa"/>
          </w:tcPr>
          <w:p w:rsidR="00BE1B38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отставание от примерного плана-графика строительства на 6 и более ме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сяцев</w:t>
            </w:r>
          </w:p>
        </w:tc>
      </w:tr>
      <w:tr w:rsidR="00CF7308" w:rsidRPr="00CF7308" w:rsidTr="007C51B9">
        <w:trPr>
          <w:gridBefore w:val="1"/>
          <w:gridAfter w:val="1"/>
          <w:wBefore w:w="330" w:type="dxa"/>
          <w:wAfter w:w="345" w:type="dxa"/>
          <w:jc w:val="center"/>
        </w:trPr>
        <w:tc>
          <w:tcPr>
            <w:tcW w:w="594" w:type="dxa"/>
            <w:vMerge/>
          </w:tcPr>
          <w:p w:rsidR="00BE1B38" w:rsidRPr="00CF7308" w:rsidRDefault="00BE1B38" w:rsidP="00D8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024" w:type="dxa"/>
            <w:vMerge/>
          </w:tcPr>
          <w:p w:rsidR="00BE1B38" w:rsidRPr="00CF7308" w:rsidRDefault="00BE1B38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65" w:type="dxa"/>
          </w:tcPr>
          <w:p w:rsidR="00BE1B38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внеплановая проверка в течение предшествующего года</w:t>
            </w:r>
          </w:p>
        </w:tc>
        <w:tc>
          <w:tcPr>
            <w:tcW w:w="4669" w:type="dxa"/>
          </w:tcPr>
          <w:p w:rsidR="00BE1B38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наличие на дату принятия решения о присвоении категории риска факта нарушения срока исполнения обязательств по договорам участия в долевом строительстве от 3 до 6 меся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цев</w:t>
            </w:r>
          </w:p>
        </w:tc>
      </w:tr>
      <w:tr w:rsidR="00CF7308" w:rsidRPr="00CF7308" w:rsidTr="007C51B9">
        <w:trPr>
          <w:gridBefore w:val="1"/>
          <w:gridAfter w:val="1"/>
          <w:wBefore w:w="330" w:type="dxa"/>
          <w:wAfter w:w="345" w:type="dxa"/>
          <w:jc w:val="center"/>
        </w:trPr>
        <w:tc>
          <w:tcPr>
            <w:tcW w:w="594" w:type="dxa"/>
            <w:vMerge w:val="restart"/>
          </w:tcPr>
          <w:p w:rsidR="00E1201B" w:rsidRPr="00CF7308" w:rsidRDefault="00E1201B" w:rsidP="00D8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024" w:type="dxa"/>
            <w:vMerge w:val="restart"/>
          </w:tcPr>
          <w:p w:rsidR="00E1201B" w:rsidRPr="00CF7308" w:rsidRDefault="00E1201B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Низкий риск (при соответствии обоим критериям)</w:t>
            </w:r>
          </w:p>
        </w:tc>
        <w:tc>
          <w:tcPr>
            <w:tcW w:w="2265" w:type="dxa"/>
          </w:tcPr>
          <w:p w:rsidR="00E1201B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признание контролируемого лица банкротом</w:t>
            </w:r>
          </w:p>
        </w:tc>
        <w:tc>
          <w:tcPr>
            <w:tcW w:w="4669" w:type="dxa"/>
          </w:tcPr>
          <w:p w:rsidR="00E1201B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контролируемое лицо проходит процедуру банкротства либо признано банк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ротом</w:t>
            </w:r>
          </w:p>
        </w:tc>
      </w:tr>
      <w:tr w:rsidR="00CF7308" w:rsidRPr="00CF7308" w:rsidTr="007C51B9">
        <w:trPr>
          <w:gridBefore w:val="1"/>
          <w:gridAfter w:val="1"/>
          <w:wBefore w:w="330" w:type="dxa"/>
          <w:wAfter w:w="345" w:type="dxa"/>
          <w:jc w:val="center"/>
        </w:trPr>
        <w:tc>
          <w:tcPr>
            <w:tcW w:w="594" w:type="dxa"/>
            <w:vMerge/>
          </w:tcPr>
          <w:p w:rsidR="00E1201B" w:rsidRPr="00CF7308" w:rsidRDefault="00E1201B" w:rsidP="00D8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024" w:type="dxa"/>
            <w:vMerge/>
          </w:tcPr>
          <w:p w:rsidR="00E1201B" w:rsidRPr="00CF7308" w:rsidRDefault="00E1201B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65" w:type="dxa"/>
          </w:tcPr>
          <w:p w:rsidR="00E1201B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контролируемое лицо не может заключить новые договоры участия в долевом строительстве</w:t>
            </w:r>
          </w:p>
        </w:tc>
        <w:tc>
          <w:tcPr>
            <w:tcW w:w="4669" w:type="dxa"/>
          </w:tcPr>
          <w:p w:rsidR="00E1201B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приостановление либо прекращение регистрации договоров участия в долевом строительстве в органе, осуществляющем государственный кадастровый учет и государственную реги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страцию прав</w:t>
            </w:r>
          </w:p>
        </w:tc>
      </w:tr>
      <w:tr w:rsidR="007C51B9" w:rsidRPr="00CF7308" w:rsidTr="007C51B9">
        <w:trPr>
          <w:gridBefore w:val="1"/>
          <w:wBefore w:w="330" w:type="dxa"/>
          <w:jc w:val="center"/>
        </w:trPr>
        <w:tc>
          <w:tcPr>
            <w:tcW w:w="594" w:type="dxa"/>
            <w:vMerge/>
          </w:tcPr>
          <w:p w:rsidR="00E1201B" w:rsidRPr="00CF7308" w:rsidRDefault="00E1201B" w:rsidP="00D8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024" w:type="dxa"/>
            <w:vMerge/>
          </w:tcPr>
          <w:p w:rsidR="00E1201B" w:rsidRPr="00CF7308" w:rsidRDefault="00E1201B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65" w:type="dxa"/>
          </w:tcPr>
          <w:p w:rsidR="00E1201B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отсутствие нарушений показателей риска</w:t>
            </w:r>
          </w:p>
        </w:tc>
        <w:tc>
          <w:tcPr>
            <w:tcW w:w="4669" w:type="dxa"/>
            <w:tcBorders>
              <w:right w:val="single" w:sz="4" w:space="0" w:color="auto"/>
            </w:tcBorders>
          </w:tcPr>
          <w:p w:rsidR="00E1201B" w:rsidRPr="00CF7308" w:rsidRDefault="007C51B9" w:rsidP="00CF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CF73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ни один показатель риска любой из категории риска не нарушен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C51B9" w:rsidRPr="00CF7308" w:rsidRDefault="007C51B9" w:rsidP="007C51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».</w:t>
            </w:r>
          </w:p>
        </w:tc>
      </w:tr>
    </w:tbl>
    <w:p w:rsidR="005E49A6" w:rsidRPr="00CF7308" w:rsidRDefault="005E49A6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C3354" w:rsidRPr="00CF7308" w:rsidRDefault="002C2668" w:rsidP="00CF73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04DC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5C3354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</w:t>
      </w:r>
      <w:r w:rsidR="0075582B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5C3354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11A11" w:rsidRPr="00CF7308" w:rsidRDefault="00E11A11" w:rsidP="00CF7308">
      <w:pPr>
        <w:pStyle w:val="a3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82B" w:rsidRPr="00CF7308" w:rsidRDefault="0075582B" w:rsidP="007C51B9">
      <w:pPr>
        <w:pStyle w:val="a3"/>
        <w:widowControl w:val="0"/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82B" w:rsidRPr="00CF7308" w:rsidRDefault="0075582B" w:rsidP="007C51B9">
      <w:pPr>
        <w:pStyle w:val="a3"/>
        <w:widowControl w:val="0"/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D80" w:rsidRPr="00CF7308" w:rsidRDefault="00D02C24" w:rsidP="007C51B9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CF440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</w:t>
      </w:r>
      <w:r w:rsidR="0039015F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7C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7C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137C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7C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7C9" w:rsidRPr="00CF7308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</w:p>
    <w:p w:rsidR="008137C9" w:rsidRPr="00CF7308" w:rsidRDefault="008137C9" w:rsidP="007C51B9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17A" w:rsidRPr="00CF7308" w:rsidRDefault="0033717A" w:rsidP="00CF730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717A" w:rsidRPr="00CF7308" w:rsidSect="00CF730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64" w:rsidRDefault="001D3164" w:rsidP="007A54D6">
      <w:pPr>
        <w:spacing w:after="0" w:line="240" w:lineRule="auto"/>
      </w:pPr>
      <w:r>
        <w:separator/>
      </w:r>
    </w:p>
  </w:endnote>
  <w:endnote w:type="continuationSeparator" w:id="0">
    <w:p w:rsidR="001D3164" w:rsidRDefault="001D3164" w:rsidP="007A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64" w:rsidRDefault="001D3164" w:rsidP="007A54D6">
      <w:pPr>
        <w:spacing w:after="0" w:line="240" w:lineRule="auto"/>
      </w:pPr>
      <w:r>
        <w:separator/>
      </w:r>
    </w:p>
  </w:footnote>
  <w:footnote w:type="continuationSeparator" w:id="0">
    <w:p w:rsidR="001D3164" w:rsidRDefault="001D3164" w:rsidP="007A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844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F7308" w:rsidRPr="00CF7308" w:rsidRDefault="00CF7308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CF7308">
          <w:rPr>
            <w:rFonts w:ascii="Times New Roman" w:hAnsi="Times New Roman" w:cs="Times New Roman"/>
            <w:sz w:val="24"/>
          </w:rPr>
          <w:fldChar w:fldCharType="begin"/>
        </w:r>
        <w:r w:rsidRPr="00CF7308">
          <w:rPr>
            <w:rFonts w:ascii="Times New Roman" w:hAnsi="Times New Roman" w:cs="Times New Roman"/>
            <w:sz w:val="24"/>
          </w:rPr>
          <w:instrText>PAGE   \* MERGEFORMAT</w:instrText>
        </w:r>
        <w:r w:rsidRPr="00CF7308">
          <w:rPr>
            <w:rFonts w:ascii="Times New Roman" w:hAnsi="Times New Roman" w:cs="Times New Roman"/>
            <w:sz w:val="24"/>
          </w:rPr>
          <w:fldChar w:fldCharType="separate"/>
        </w:r>
        <w:r w:rsidR="00232C89">
          <w:rPr>
            <w:rFonts w:ascii="Times New Roman" w:hAnsi="Times New Roman" w:cs="Times New Roman"/>
            <w:noProof/>
            <w:sz w:val="24"/>
          </w:rPr>
          <w:t>2</w:t>
        </w:r>
        <w:r w:rsidRPr="00CF73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743"/>
    <w:multiLevelType w:val="multilevel"/>
    <w:tmpl w:val="1BBA0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C17DCB"/>
    <w:multiLevelType w:val="multilevel"/>
    <w:tmpl w:val="5DDAEE2A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2">
    <w:nsid w:val="05DB55E0"/>
    <w:multiLevelType w:val="hybridMultilevel"/>
    <w:tmpl w:val="7AB2A30A"/>
    <w:lvl w:ilvl="0" w:tplc="B8787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52148"/>
    <w:multiLevelType w:val="multilevel"/>
    <w:tmpl w:val="EC16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8A2EE1"/>
    <w:multiLevelType w:val="hybridMultilevel"/>
    <w:tmpl w:val="C2F0EA18"/>
    <w:lvl w:ilvl="0" w:tplc="D4742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D45148"/>
    <w:multiLevelType w:val="multilevel"/>
    <w:tmpl w:val="080E66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E7B3175"/>
    <w:multiLevelType w:val="multilevel"/>
    <w:tmpl w:val="403497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8B5C7F"/>
    <w:multiLevelType w:val="multilevel"/>
    <w:tmpl w:val="67BC2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FCE2B5D"/>
    <w:multiLevelType w:val="multilevel"/>
    <w:tmpl w:val="96803F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3B1F4C"/>
    <w:multiLevelType w:val="multilevel"/>
    <w:tmpl w:val="C23E55B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B2B21CE"/>
    <w:multiLevelType w:val="multilevel"/>
    <w:tmpl w:val="A6B05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5143E2"/>
    <w:multiLevelType w:val="multilevel"/>
    <w:tmpl w:val="E2F0A0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C6034D"/>
    <w:multiLevelType w:val="multilevel"/>
    <w:tmpl w:val="8E3407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248" w:hanging="2160"/>
      </w:pPr>
    </w:lvl>
  </w:abstractNum>
  <w:abstractNum w:abstractNumId="14">
    <w:nsid w:val="5C587451"/>
    <w:multiLevelType w:val="multilevel"/>
    <w:tmpl w:val="403C9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83074E"/>
    <w:multiLevelType w:val="multilevel"/>
    <w:tmpl w:val="FA3467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72591A87"/>
    <w:multiLevelType w:val="multilevel"/>
    <w:tmpl w:val="B0E023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434445a-7bab-4e20-9f47-6476b52fd1d9"/>
  </w:docVars>
  <w:rsids>
    <w:rsidRoot w:val="006D3D6E"/>
    <w:rsid w:val="00023EF5"/>
    <w:rsid w:val="00024843"/>
    <w:rsid w:val="0002569B"/>
    <w:rsid w:val="00042857"/>
    <w:rsid w:val="00046AE3"/>
    <w:rsid w:val="000553BF"/>
    <w:rsid w:val="000577C6"/>
    <w:rsid w:val="000732F6"/>
    <w:rsid w:val="00085D22"/>
    <w:rsid w:val="00086DDF"/>
    <w:rsid w:val="00087367"/>
    <w:rsid w:val="000911B2"/>
    <w:rsid w:val="00092D41"/>
    <w:rsid w:val="00097A29"/>
    <w:rsid w:val="000A398E"/>
    <w:rsid w:val="000A6EA9"/>
    <w:rsid w:val="000B0F33"/>
    <w:rsid w:val="000C4AA2"/>
    <w:rsid w:val="000C57ED"/>
    <w:rsid w:val="000C64E4"/>
    <w:rsid w:val="000D1265"/>
    <w:rsid w:val="000D68BE"/>
    <w:rsid w:val="000E7427"/>
    <w:rsid w:val="000F2355"/>
    <w:rsid w:val="0010481B"/>
    <w:rsid w:val="001101A2"/>
    <w:rsid w:val="001125D0"/>
    <w:rsid w:val="00114BB8"/>
    <w:rsid w:val="00117CC3"/>
    <w:rsid w:val="0013530B"/>
    <w:rsid w:val="0013591C"/>
    <w:rsid w:val="0013607A"/>
    <w:rsid w:val="00140966"/>
    <w:rsid w:val="0015148C"/>
    <w:rsid w:val="00151557"/>
    <w:rsid w:val="00151EDA"/>
    <w:rsid w:val="00152A29"/>
    <w:rsid w:val="00153082"/>
    <w:rsid w:val="001712DA"/>
    <w:rsid w:val="00172D66"/>
    <w:rsid w:val="001772F7"/>
    <w:rsid w:val="00182D7B"/>
    <w:rsid w:val="0018356A"/>
    <w:rsid w:val="00185E59"/>
    <w:rsid w:val="001866FC"/>
    <w:rsid w:val="0019148E"/>
    <w:rsid w:val="001A316D"/>
    <w:rsid w:val="001A3B2D"/>
    <w:rsid w:val="001B1F79"/>
    <w:rsid w:val="001B2873"/>
    <w:rsid w:val="001B55BE"/>
    <w:rsid w:val="001B5F86"/>
    <w:rsid w:val="001B7E57"/>
    <w:rsid w:val="001C5CDC"/>
    <w:rsid w:val="001D1E1A"/>
    <w:rsid w:val="001D3164"/>
    <w:rsid w:val="001E5E69"/>
    <w:rsid w:val="00201EDE"/>
    <w:rsid w:val="00203AE6"/>
    <w:rsid w:val="00206A8C"/>
    <w:rsid w:val="00215365"/>
    <w:rsid w:val="00231FB9"/>
    <w:rsid w:val="002321B3"/>
    <w:rsid w:val="00232C89"/>
    <w:rsid w:val="00240946"/>
    <w:rsid w:val="00247D05"/>
    <w:rsid w:val="00252ED9"/>
    <w:rsid w:val="0026498E"/>
    <w:rsid w:val="002723D4"/>
    <w:rsid w:val="00274B85"/>
    <w:rsid w:val="00276B58"/>
    <w:rsid w:val="002819A8"/>
    <w:rsid w:val="0028591A"/>
    <w:rsid w:val="00290D60"/>
    <w:rsid w:val="002A603E"/>
    <w:rsid w:val="002A7377"/>
    <w:rsid w:val="002B150B"/>
    <w:rsid w:val="002C2668"/>
    <w:rsid w:val="002D4023"/>
    <w:rsid w:val="002E132F"/>
    <w:rsid w:val="003013F4"/>
    <w:rsid w:val="003063F2"/>
    <w:rsid w:val="00307CF9"/>
    <w:rsid w:val="00312D5F"/>
    <w:rsid w:val="00313CDB"/>
    <w:rsid w:val="0032097E"/>
    <w:rsid w:val="00330AAA"/>
    <w:rsid w:val="00336115"/>
    <w:rsid w:val="0033717A"/>
    <w:rsid w:val="0034402A"/>
    <w:rsid w:val="0036360F"/>
    <w:rsid w:val="00374D2B"/>
    <w:rsid w:val="0039015F"/>
    <w:rsid w:val="003B166D"/>
    <w:rsid w:val="003B51A5"/>
    <w:rsid w:val="003B6C42"/>
    <w:rsid w:val="003B6C6C"/>
    <w:rsid w:val="003D1CA6"/>
    <w:rsid w:val="003F26DF"/>
    <w:rsid w:val="003F5BB6"/>
    <w:rsid w:val="003F6318"/>
    <w:rsid w:val="004015E0"/>
    <w:rsid w:val="00402A3D"/>
    <w:rsid w:val="00403A62"/>
    <w:rsid w:val="00413849"/>
    <w:rsid w:val="00415F3A"/>
    <w:rsid w:val="004220D6"/>
    <w:rsid w:val="00434AE8"/>
    <w:rsid w:val="00444D32"/>
    <w:rsid w:val="004453BC"/>
    <w:rsid w:val="00447B57"/>
    <w:rsid w:val="00454B64"/>
    <w:rsid w:val="00470141"/>
    <w:rsid w:val="00474147"/>
    <w:rsid w:val="004758E8"/>
    <w:rsid w:val="00485CF5"/>
    <w:rsid w:val="004A5925"/>
    <w:rsid w:val="004B33B3"/>
    <w:rsid w:val="004B7973"/>
    <w:rsid w:val="004C47C0"/>
    <w:rsid w:val="004C6132"/>
    <w:rsid w:val="004C7C09"/>
    <w:rsid w:val="004D2B2E"/>
    <w:rsid w:val="004E06D8"/>
    <w:rsid w:val="004E107B"/>
    <w:rsid w:val="004E7AAA"/>
    <w:rsid w:val="00517B61"/>
    <w:rsid w:val="00525B59"/>
    <w:rsid w:val="00526E68"/>
    <w:rsid w:val="00527B9F"/>
    <w:rsid w:val="005306BD"/>
    <w:rsid w:val="00532F69"/>
    <w:rsid w:val="00534968"/>
    <w:rsid w:val="00536712"/>
    <w:rsid w:val="00536F73"/>
    <w:rsid w:val="005411CA"/>
    <w:rsid w:val="00541485"/>
    <w:rsid w:val="00542EDE"/>
    <w:rsid w:val="0054339C"/>
    <w:rsid w:val="00546238"/>
    <w:rsid w:val="005564F2"/>
    <w:rsid w:val="005566E7"/>
    <w:rsid w:val="0056208D"/>
    <w:rsid w:val="00564A4E"/>
    <w:rsid w:val="0059018A"/>
    <w:rsid w:val="00590FF9"/>
    <w:rsid w:val="00591B21"/>
    <w:rsid w:val="00592828"/>
    <w:rsid w:val="00594134"/>
    <w:rsid w:val="005962B5"/>
    <w:rsid w:val="0059714F"/>
    <w:rsid w:val="005A10AD"/>
    <w:rsid w:val="005A3D80"/>
    <w:rsid w:val="005A64F2"/>
    <w:rsid w:val="005A7CBE"/>
    <w:rsid w:val="005C3354"/>
    <w:rsid w:val="005D47A2"/>
    <w:rsid w:val="005D7B5C"/>
    <w:rsid w:val="005E11F2"/>
    <w:rsid w:val="005E49A6"/>
    <w:rsid w:val="005F1D80"/>
    <w:rsid w:val="0061066D"/>
    <w:rsid w:val="006304DC"/>
    <w:rsid w:val="00635200"/>
    <w:rsid w:val="006559B6"/>
    <w:rsid w:val="00660385"/>
    <w:rsid w:val="00662004"/>
    <w:rsid w:val="00670151"/>
    <w:rsid w:val="0067082A"/>
    <w:rsid w:val="006950C6"/>
    <w:rsid w:val="00697D51"/>
    <w:rsid w:val="006B3E23"/>
    <w:rsid w:val="006B54C5"/>
    <w:rsid w:val="006C4048"/>
    <w:rsid w:val="006C6F63"/>
    <w:rsid w:val="006D3918"/>
    <w:rsid w:val="006D3D6E"/>
    <w:rsid w:val="006E0EC9"/>
    <w:rsid w:val="006E4F7A"/>
    <w:rsid w:val="006E5427"/>
    <w:rsid w:val="006F6AEB"/>
    <w:rsid w:val="007003E0"/>
    <w:rsid w:val="0070734A"/>
    <w:rsid w:val="00721422"/>
    <w:rsid w:val="00723582"/>
    <w:rsid w:val="00723F25"/>
    <w:rsid w:val="007252AC"/>
    <w:rsid w:val="0072617E"/>
    <w:rsid w:val="00726CC1"/>
    <w:rsid w:val="00737457"/>
    <w:rsid w:val="00740629"/>
    <w:rsid w:val="00740FA3"/>
    <w:rsid w:val="00750163"/>
    <w:rsid w:val="0075056E"/>
    <w:rsid w:val="0075582B"/>
    <w:rsid w:val="00760EEB"/>
    <w:rsid w:val="00761660"/>
    <w:rsid w:val="00763990"/>
    <w:rsid w:val="00772C08"/>
    <w:rsid w:val="007733A0"/>
    <w:rsid w:val="007751B5"/>
    <w:rsid w:val="0077604E"/>
    <w:rsid w:val="007804A5"/>
    <w:rsid w:val="0079218F"/>
    <w:rsid w:val="007933D7"/>
    <w:rsid w:val="007A3724"/>
    <w:rsid w:val="007A4F98"/>
    <w:rsid w:val="007A54D6"/>
    <w:rsid w:val="007A6FAF"/>
    <w:rsid w:val="007A7F44"/>
    <w:rsid w:val="007B475A"/>
    <w:rsid w:val="007C51B9"/>
    <w:rsid w:val="007E591E"/>
    <w:rsid w:val="007E7EBB"/>
    <w:rsid w:val="007F3178"/>
    <w:rsid w:val="007F365B"/>
    <w:rsid w:val="008051CA"/>
    <w:rsid w:val="00807CAC"/>
    <w:rsid w:val="008137C9"/>
    <w:rsid w:val="00831ABA"/>
    <w:rsid w:val="00843E1C"/>
    <w:rsid w:val="00850511"/>
    <w:rsid w:val="00862918"/>
    <w:rsid w:val="00863893"/>
    <w:rsid w:val="00864D2A"/>
    <w:rsid w:val="00870072"/>
    <w:rsid w:val="008706CD"/>
    <w:rsid w:val="00870D86"/>
    <w:rsid w:val="00873379"/>
    <w:rsid w:val="008901DB"/>
    <w:rsid w:val="0089020B"/>
    <w:rsid w:val="008A0527"/>
    <w:rsid w:val="008B1C49"/>
    <w:rsid w:val="008B72F8"/>
    <w:rsid w:val="008B7363"/>
    <w:rsid w:val="008B783D"/>
    <w:rsid w:val="008C4D25"/>
    <w:rsid w:val="008D1F27"/>
    <w:rsid w:val="008D3890"/>
    <w:rsid w:val="008E2190"/>
    <w:rsid w:val="008E2325"/>
    <w:rsid w:val="008E340B"/>
    <w:rsid w:val="008F4B70"/>
    <w:rsid w:val="009011D2"/>
    <w:rsid w:val="009205EB"/>
    <w:rsid w:val="00925779"/>
    <w:rsid w:val="00926ADB"/>
    <w:rsid w:val="0094599D"/>
    <w:rsid w:val="00946224"/>
    <w:rsid w:val="009524B8"/>
    <w:rsid w:val="00955B6B"/>
    <w:rsid w:val="009571FE"/>
    <w:rsid w:val="0096235F"/>
    <w:rsid w:val="00962BF7"/>
    <w:rsid w:val="009642A0"/>
    <w:rsid w:val="00967866"/>
    <w:rsid w:val="00970361"/>
    <w:rsid w:val="00971CFD"/>
    <w:rsid w:val="00977E7C"/>
    <w:rsid w:val="00980ED9"/>
    <w:rsid w:val="009865E2"/>
    <w:rsid w:val="00987620"/>
    <w:rsid w:val="00990F24"/>
    <w:rsid w:val="009944B3"/>
    <w:rsid w:val="009B0880"/>
    <w:rsid w:val="009B54B0"/>
    <w:rsid w:val="009C3218"/>
    <w:rsid w:val="009D172B"/>
    <w:rsid w:val="009D30CD"/>
    <w:rsid w:val="009D4113"/>
    <w:rsid w:val="009D6E1E"/>
    <w:rsid w:val="009E3758"/>
    <w:rsid w:val="009E6293"/>
    <w:rsid w:val="009F4155"/>
    <w:rsid w:val="00A04911"/>
    <w:rsid w:val="00A04FC0"/>
    <w:rsid w:val="00A13186"/>
    <w:rsid w:val="00A1532A"/>
    <w:rsid w:val="00A1737D"/>
    <w:rsid w:val="00A24D56"/>
    <w:rsid w:val="00A4050E"/>
    <w:rsid w:val="00A45319"/>
    <w:rsid w:val="00A45D20"/>
    <w:rsid w:val="00A45DA4"/>
    <w:rsid w:val="00A47BD2"/>
    <w:rsid w:val="00A62AA2"/>
    <w:rsid w:val="00A76EC7"/>
    <w:rsid w:val="00A83131"/>
    <w:rsid w:val="00A87E39"/>
    <w:rsid w:val="00A90102"/>
    <w:rsid w:val="00A92496"/>
    <w:rsid w:val="00A9520F"/>
    <w:rsid w:val="00A965BD"/>
    <w:rsid w:val="00AA4127"/>
    <w:rsid w:val="00AB7A8D"/>
    <w:rsid w:val="00AC1071"/>
    <w:rsid w:val="00AC232C"/>
    <w:rsid w:val="00AC7E35"/>
    <w:rsid w:val="00AD15A1"/>
    <w:rsid w:val="00AD194D"/>
    <w:rsid w:val="00AD3302"/>
    <w:rsid w:val="00AD46E2"/>
    <w:rsid w:val="00AF1265"/>
    <w:rsid w:val="00AF59D2"/>
    <w:rsid w:val="00B010FF"/>
    <w:rsid w:val="00B05484"/>
    <w:rsid w:val="00B06B66"/>
    <w:rsid w:val="00B104D7"/>
    <w:rsid w:val="00B128D3"/>
    <w:rsid w:val="00B212CA"/>
    <w:rsid w:val="00B242C9"/>
    <w:rsid w:val="00B2439B"/>
    <w:rsid w:val="00B311E0"/>
    <w:rsid w:val="00B365A3"/>
    <w:rsid w:val="00B43C46"/>
    <w:rsid w:val="00B454CA"/>
    <w:rsid w:val="00B45F2C"/>
    <w:rsid w:val="00B47208"/>
    <w:rsid w:val="00B659AF"/>
    <w:rsid w:val="00B92225"/>
    <w:rsid w:val="00B94E50"/>
    <w:rsid w:val="00B95BF6"/>
    <w:rsid w:val="00B97EA1"/>
    <w:rsid w:val="00BB5D9B"/>
    <w:rsid w:val="00BE184B"/>
    <w:rsid w:val="00BE1B38"/>
    <w:rsid w:val="00BF4F33"/>
    <w:rsid w:val="00BF59CD"/>
    <w:rsid w:val="00C02120"/>
    <w:rsid w:val="00C125A5"/>
    <w:rsid w:val="00C3104C"/>
    <w:rsid w:val="00C341C5"/>
    <w:rsid w:val="00C3443B"/>
    <w:rsid w:val="00C40B79"/>
    <w:rsid w:val="00C43001"/>
    <w:rsid w:val="00C44699"/>
    <w:rsid w:val="00C46DB4"/>
    <w:rsid w:val="00C52F53"/>
    <w:rsid w:val="00C55E30"/>
    <w:rsid w:val="00C85664"/>
    <w:rsid w:val="00C93296"/>
    <w:rsid w:val="00C93BE0"/>
    <w:rsid w:val="00C9685C"/>
    <w:rsid w:val="00CA45CC"/>
    <w:rsid w:val="00CB3D2F"/>
    <w:rsid w:val="00CB7F2F"/>
    <w:rsid w:val="00CC2208"/>
    <w:rsid w:val="00CC4B6F"/>
    <w:rsid w:val="00CD338D"/>
    <w:rsid w:val="00CE5503"/>
    <w:rsid w:val="00CE61DF"/>
    <w:rsid w:val="00CF4409"/>
    <w:rsid w:val="00CF5670"/>
    <w:rsid w:val="00CF6AB7"/>
    <w:rsid w:val="00CF7069"/>
    <w:rsid w:val="00CF7308"/>
    <w:rsid w:val="00D02C24"/>
    <w:rsid w:val="00D066C6"/>
    <w:rsid w:val="00D10147"/>
    <w:rsid w:val="00D134AE"/>
    <w:rsid w:val="00D13F61"/>
    <w:rsid w:val="00D1669A"/>
    <w:rsid w:val="00D22223"/>
    <w:rsid w:val="00D24AED"/>
    <w:rsid w:val="00D27997"/>
    <w:rsid w:val="00D32BC6"/>
    <w:rsid w:val="00D36FC5"/>
    <w:rsid w:val="00D3729A"/>
    <w:rsid w:val="00D4192D"/>
    <w:rsid w:val="00D42305"/>
    <w:rsid w:val="00D44827"/>
    <w:rsid w:val="00D46D29"/>
    <w:rsid w:val="00D60FF5"/>
    <w:rsid w:val="00D6556B"/>
    <w:rsid w:val="00D71EB2"/>
    <w:rsid w:val="00D73829"/>
    <w:rsid w:val="00D81FD9"/>
    <w:rsid w:val="00D86DD2"/>
    <w:rsid w:val="00D8762B"/>
    <w:rsid w:val="00DA2D49"/>
    <w:rsid w:val="00DA6226"/>
    <w:rsid w:val="00DA7151"/>
    <w:rsid w:val="00DB12C8"/>
    <w:rsid w:val="00DB38C1"/>
    <w:rsid w:val="00DB39E1"/>
    <w:rsid w:val="00DB4E2D"/>
    <w:rsid w:val="00DC000F"/>
    <w:rsid w:val="00DC27F6"/>
    <w:rsid w:val="00DC5879"/>
    <w:rsid w:val="00DC69E8"/>
    <w:rsid w:val="00DD1AB3"/>
    <w:rsid w:val="00DD1F50"/>
    <w:rsid w:val="00DD5A29"/>
    <w:rsid w:val="00DD5EA7"/>
    <w:rsid w:val="00DD791C"/>
    <w:rsid w:val="00DE4947"/>
    <w:rsid w:val="00DF569D"/>
    <w:rsid w:val="00DF66F0"/>
    <w:rsid w:val="00E00E36"/>
    <w:rsid w:val="00E11A11"/>
    <w:rsid w:val="00E1201B"/>
    <w:rsid w:val="00E12394"/>
    <w:rsid w:val="00E1558F"/>
    <w:rsid w:val="00E21AE7"/>
    <w:rsid w:val="00E27393"/>
    <w:rsid w:val="00E30951"/>
    <w:rsid w:val="00E37659"/>
    <w:rsid w:val="00E4331B"/>
    <w:rsid w:val="00E45E79"/>
    <w:rsid w:val="00E503D7"/>
    <w:rsid w:val="00E53C8A"/>
    <w:rsid w:val="00E55B53"/>
    <w:rsid w:val="00E55E6B"/>
    <w:rsid w:val="00E60849"/>
    <w:rsid w:val="00E70ECC"/>
    <w:rsid w:val="00E72900"/>
    <w:rsid w:val="00E75FFF"/>
    <w:rsid w:val="00E77CDB"/>
    <w:rsid w:val="00E81D7F"/>
    <w:rsid w:val="00E8243E"/>
    <w:rsid w:val="00E85DD9"/>
    <w:rsid w:val="00E91062"/>
    <w:rsid w:val="00E921C7"/>
    <w:rsid w:val="00E96337"/>
    <w:rsid w:val="00EB08A3"/>
    <w:rsid w:val="00EC7D0F"/>
    <w:rsid w:val="00ED1A7E"/>
    <w:rsid w:val="00ED378F"/>
    <w:rsid w:val="00ED485E"/>
    <w:rsid w:val="00EE7CB1"/>
    <w:rsid w:val="00EF3DBA"/>
    <w:rsid w:val="00F037B6"/>
    <w:rsid w:val="00F03A4C"/>
    <w:rsid w:val="00F06BAB"/>
    <w:rsid w:val="00F11B2D"/>
    <w:rsid w:val="00F35A03"/>
    <w:rsid w:val="00F378BD"/>
    <w:rsid w:val="00F43278"/>
    <w:rsid w:val="00F44F31"/>
    <w:rsid w:val="00F57895"/>
    <w:rsid w:val="00F60B5A"/>
    <w:rsid w:val="00F71C97"/>
    <w:rsid w:val="00F7379D"/>
    <w:rsid w:val="00F8020E"/>
    <w:rsid w:val="00F80358"/>
    <w:rsid w:val="00F85BC8"/>
    <w:rsid w:val="00F85F30"/>
    <w:rsid w:val="00F87EE4"/>
    <w:rsid w:val="00FA2AED"/>
    <w:rsid w:val="00FB4E92"/>
    <w:rsid w:val="00FC24CD"/>
    <w:rsid w:val="00FD095F"/>
    <w:rsid w:val="00FD4B03"/>
    <w:rsid w:val="00FE3BEE"/>
    <w:rsid w:val="00FE5069"/>
    <w:rsid w:val="00FE5CCA"/>
    <w:rsid w:val="00FF575D"/>
    <w:rsid w:val="00FF75C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DE0A7-2778-4EB7-B089-B0CA549B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051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8051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8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758E8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58E8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4758E8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Placeholder Text"/>
    <w:basedOn w:val="a0"/>
    <w:uiPriority w:val="99"/>
    <w:semiHidden/>
    <w:rsid w:val="00CF7069"/>
    <w:rPr>
      <w:color w:val="808080"/>
    </w:rPr>
  </w:style>
  <w:style w:type="character" w:styleId="ac">
    <w:name w:val="Hyperlink"/>
    <w:basedOn w:val="a0"/>
    <w:uiPriority w:val="99"/>
    <w:semiHidden/>
    <w:unhideWhenUsed/>
    <w:rsid w:val="00444D32"/>
    <w:rPr>
      <w:color w:val="0000FF"/>
      <w:u w:val="single"/>
    </w:rPr>
  </w:style>
  <w:style w:type="table" w:styleId="ad">
    <w:name w:val="Table Grid"/>
    <w:basedOn w:val="a1"/>
    <w:uiPriority w:val="59"/>
    <w:unhideWhenUsed/>
    <w:rsid w:val="00BE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87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2F28-1AF3-4FF2-A7B6-FF2A2A47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Тас-оол Оксана Всеволодовна</cp:lastModifiedBy>
  <cp:revision>3</cp:revision>
  <cp:lastPrinted>2025-03-18T03:25:00Z</cp:lastPrinted>
  <dcterms:created xsi:type="dcterms:W3CDTF">2025-03-18T03:26:00Z</dcterms:created>
  <dcterms:modified xsi:type="dcterms:W3CDTF">2025-03-18T03:26:00Z</dcterms:modified>
</cp:coreProperties>
</file>