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3" w:rsidRDefault="006D2883" w:rsidP="006D2883">
      <w:pPr>
        <w:spacing w:after="200" w:line="276" w:lineRule="auto"/>
        <w:jc w:val="center"/>
        <w:rPr>
          <w:noProof/>
          <w:sz w:val="24"/>
          <w:szCs w:val="24"/>
        </w:rPr>
      </w:pPr>
    </w:p>
    <w:p w:rsidR="00DB7EE7" w:rsidRDefault="00DB7EE7" w:rsidP="006D2883">
      <w:pPr>
        <w:spacing w:after="200" w:line="276" w:lineRule="auto"/>
        <w:jc w:val="center"/>
        <w:rPr>
          <w:noProof/>
          <w:sz w:val="24"/>
          <w:szCs w:val="24"/>
        </w:rPr>
      </w:pPr>
    </w:p>
    <w:p w:rsidR="00DB7EE7" w:rsidRDefault="00DB7EE7" w:rsidP="006D2883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6D2883" w:rsidRPr="0025472A" w:rsidRDefault="006D2883" w:rsidP="006D288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D2883" w:rsidRPr="004C14FF" w:rsidRDefault="006D2883" w:rsidP="006D288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B06BB" w:rsidRDefault="001B06BB" w:rsidP="001B06BB">
      <w:pPr>
        <w:jc w:val="center"/>
        <w:rPr>
          <w:sz w:val="28"/>
          <w:szCs w:val="28"/>
        </w:rPr>
      </w:pPr>
    </w:p>
    <w:p w:rsidR="001B06BB" w:rsidRDefault="001B06BB" w:rsidP="001B06BB">
      <w:pPr>
        <w:jc w:val="center"/>
        <w:rPr>
          <w:sz w:val="28"/>
          <w:szCs w:val="28"/>
        </w:rPr>
      </w:pPr>
    </w:p>
    <w:p w:rsidR="001B06BB" w:rsidRDefault="00D87452" w:rsidP="00D874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октября 2022 г. № 685</w:t>
      </w:r>
    </w:p>
    <w:p w:rsidR="00D87452" w:rsidRDefault="00D87452" w:rsidP="00D874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B06BB" w:rsidRPr="001B06BB" w:rsidRDefault="001B06BB" w:rsidP="001B06BB">
      <w:pPr>
        <w:jc w:val="center"/>
        <w:rPr>
          <w:sz w:val="28"/>
          <w:szCs w:val="28"/>
        </w:rPr>
      </w:pPr>
    </w:p>
    <w:p w:rsidR="001B06BB" w:rsidRDefault="001B06BB" w:rsidP="001B0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B06BB">
        <w:rPr>
          <w:b/>
          <w:sz w:val="28"/>
          <w:szCs w:val="28"/>
        </w:rPr>
        <w:t xml:space="preserve"> проекте соглашения между </w:t>
      </w:r>
    </w:p>
    <w:p w:rsidR="001B06BB" w:rsidRDefault="001B06BB" w:rsidP="001B06BB">
      <w:pPr>
        <w:jc w:val="center"/>
        <w:rPr>
          <w:b/>
          <w:sz w:val="28"/>
          <w:szCs w:val="28"/>
        </w:rPr>
      </w:pPr>
      <w:r w:rsidRPr="001B06BB">
        <w:rPr>
          <w:b/>
          <w:sz w:val="28"/>
          <w:szCs w:val="28"/>
        </w:rPr>
        <w:t xml:space="preserve">Правительством Республики Тыва и </w:t>
      </w:r>
    </w:p>
    <w:p w:rsidR="001B06BB" w:rsidRDefault="001B06BB" w:rsidP="001B06BB">
      <w:pPr>
        <w:jc w:val="center"/>
        <w:rPr>
          <w:b/>
          <w:sz w:val="28"/>
          <w:szCs w:val="28"/>
        </w:rPr>
      </w:pPr>
      <w:r w:rsidRPr="001B06BB">
        <w:rPr>
          <w:b/>
          <w:sz w:val="28"/>
          <w:szCs w:val="28"/>
        </w:rPr>
        <w:t>Государственным Эрмитажем</w:t>
      </w:r>
      <w:r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 xml:space="preserve">об условиях </w:t>
      </w:r>
    </w:p>
    <w:p w:rsidR="001B06BB" w:rsidRDefault="001B06BB" w:rsidP="001B06BB">
      <w:pPr>
        <w:jc w:val="center"/>
        <w:rPr>
          <w:b/>
          <w:sz w:val="28"/>
          <w:szCs w:val="28"/>
        </w:rPr>
      </w:pPr>
      <w:r w:rsidRPr="001B06BB">
        <w:rPr>
          <w:b/>
          <w:sz w:val="28"/>
          <w:szCs w:val="28"/>
        </w:rPr>
        <w:t>проведения работ по научному изучению,</w:t>
      </w:r>
    </w:p>
    <w:p w:rsidR="001B06BB" w:rsidRDefault="001B06BB" w:rsidP="001B06BB">
      <w:pPr>
        <w:jc w:val="center"/>
        <w:rPr>
          <w:b/>
          <w:sz w:val="28"/>
          <w:szCs w:val="28"/>
        </w:rPr>
      </w:pPr>
      <w:r w:rsidRPr="001B06BB">
        <w:rPr>
          <w:b/>
          <w:sz w:val="28"/>
          <w:szCs w:val="28"/>
        </w:rPr>
        <w:t xml:space="preserve"> реставрации, консервации</w:t>
      </w:r>
      <w:r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 xml:space="preserve">и реконструкции </w:t>
      </w:r>
    </w:p>
    <w:p w:rsidR="001B06BB" w:rsidRDefault="001B06BB" w:rsidP="001B06BB">
      <w:pPr>
        <w:jc w:val="center"/>
        <w:rPr>
          <w:b/>
          <w:sz w:val="28"/>
          <w:szCs w:val="28"/>
        </w:rPr>
      </w:pPr>
      <w:r w:rsidRPr="001B06BB">
        <w:rPr>
          <w:b/>
          <w:sz w:val="28"/>
          <w:szCs w:val="28"/>
        </w:rPr>
        <w:t>археологических предметов</w:t>
      </w:r>
      <w:r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 xml:space="preserve">из раскопок </w:t>
      </w:r>
    </w:p>
    <w:p w:rsidR="001B06BB" w:rsidRDefault="001B06BB" w:rsidP="001B06BB">
      <w:pPr>
        <w:jc w:val="center"/>
        <w:rPr>
          <w:b/>
          <w:sz w:val="28"/>
          <w:szCs w:val="28"/>
        </w:rPr>
      </w:pPr>
      <w:r w:rsidRPr="001B06BB">
        <w:rPr>
          <w:b/>
          <w:sz w:val="28"/>
          <w:szCs w:val="28"/>
        </w:rPr>
        <w:t xml:space="preserve">погребально-поминального </w:t>
      </w:r>
    </w:p>
    <w:p w:rsidR="005F50C0" w:rsidRPr="001B06BB" w:rsidRDefault="001B06BB" w:rsidP="001B06BB">
      <w:pPr>
        <w:jc w:val="center"/>
        <w:rPr>
          <w:b/>
          <w:sz w:val="28"/>
          <w:szCs w:val="28"/>
        </w:rPr>
      </w:pPr>
      <w:r w:rsidRPr="001B06BB">
        <w:rPr>
          <w:b/>
          <w:sz w:val="28"/>
          <w:szCs w:val="28"/>
        </w:rPr>
        <w:t xml:space="preserve">комплекса </w:t>
      </w:r>
      <w:proofErr w:type="spellStart"/>
      <w:r w:rsidRPr="001B06BB">
        <w:rPr>
          <w:b/>
          <w:sz w:val="28"/>
          <w:szCs w:val="28"/>
        </w:rPr>
        <w:t>Чинге-Тэй</w:t>
      </w:r>
      <w:proofErr w:type="spellEnd"/>
      <w:r w:rsidRPr="001B06BB">
        <w:rPr>
          <w:b/>
          <w:sz w:val="28"/>
          <w:szCs w:val="28"/>
        </w:rPr>
        <w:t xml:space="preserve"> I</w:t>
      </w:r>
    </w:p>
    <w:p w:rsidR="005F50C0" w:rsidRDefault="005F50C0" w:rsidP="001B06BB">
      <w:pPr>
        <w:jc w:val="center"/>
        <w:rPr>
          <w:sz w:val="28"/>
          <w:szCs w:val="28"/>
        </w:rPr>
      </w:pPr>
    </w:p>
    <w:p w:rsidR="001B06BB" w:rsidRPr="001B06BB" w:rsidRDefault="001B06BB" w:rsidP="001B06BB">
      <w:pPr>
        <w:jc w:val="center"/>
        <w:rPr>
          <w:sz w:val="28"/>
          <w:szCs w:val="28"/>
        </w:rPr>
      </w:pPr>
    </w:p>
    <w:p w:rsidR="005F50C0" w:rsidRDefault="005F50C0" w:rsidP="001B06BB">
      <w:pPr>
        <w:spacing w:line="360" w:lineRule="atLeast"/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 xml:space="preserve">В целях </w:t>
      </w:r>
      <w:r w:rsidR="00D4775C" w:rsidRPr="001B06BB">
        <w:rPr>
          <w:sz w:val="28"/>
          <w:szCs w:val="28"/>
        </w:rPr>
        <w:t xml:space="preserve">эффективного взаимодействия и сотрудничества между Правительством Республики Тыва и Государственным Эрмитажем Правительство Республики Тыва </w:t>
      </w:r>
      <w:r w:rsidR="001B06BB" w:rsidRPr="001B06BB">
        <w:rPr>
          <w:sz w:val="28"/>
          <w:szCs w:val="28"/>
        </w:rPr>
        <w:t>ПОСТАНОВЛЯЕТ:</w:t>
      </w:r>
    </w:p>
    <w:p w:rsidR="001B06BB" w:rsidRPr="001B06BB" w:rsidRDefault="001B06BB" w:rsidP="001B06BB">
      <w:pPr>
        <w:spacing w:line="360" w:lineRule="atLeast"/>
        <w:ind w:firstLine="709"/>
        <w:jc w:val="both"/>
        <w:rPr>
          <w:sz w:val="28"/>
          <w:szCs w:val="28"/>
        </w:rPr>
      </w:pPr>
    </w:p>
    <w:p w:rsidR="005F50C0" w:rsidRPr="001B06BB" w:rsidRDefault="005F50C0" w:rsidP="001B06BB">
      <w:pPr>
        <w:spacing w:line="360" w:lineRule="atLeast"/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 xml:space="preserve">1. Одобрить прилагаемый проект соглашения между Правительством Республики Тыва и Государственным Эрмитажем об условиях проведения работ по научному изучению, реставрации, консервации и реконструкции археологических предметов из раскопок погребально-поминального комплекса </w:t>
      </w:r>
      <w:proofErr w:type="spellStart"/>
      <w:r w:rsidRPr="001B06BB">
        <w:rPr>
          <w:sz w:val="28"/>
          <w:szCs w:val="28"/>
        </w:rPr>
        <w:t>Чинге-Тэй</w:t>
      </w:r>
      <w:proofErr w:type="spellEnd"/>
      <w:r w:rsidRPr="001B06BB">
        <w:rPr>
          <w:sz w:val="28"/>
          <w:szCs w:val="28"/>
        </w:rPr>
        <w:t xml:space="preserve"> I (далее </w:t>
      </w:r>
      <w:r w:rsidR="001B06BB">
        <w:rPr>
          <w:sz w:val="28"/>
          <w:szCs w:val="28"/>
        </w:rPr>
        <w:t>–</w:t>
      </w:r>
      <w:r w:rsidRPr="001B06BB">
        <w:rPr>
          <w:sz w:val="28"/>
          <w:szCs w:val="28"/>
        </w:rPr>
        <w:t xml:space="preserve"> </w:t>
      </w:r>
      <w:r w:rsidR="001B06BB">
        <w:rPr>
          <w:sz w:val="28"/>
          <w:szCs w:val="28"/>
        </w:rPr>
        <w:t xml:space="preserve">              </w:t>
      </w:r>
      <w:r w:rsidRPr="001B06BB">
        <w:rPr>
          <w:sz w:val="28"/>
          <w:szCs w:val="28"/>
        </w:rPr>
        <w:t>Соглашение).</w:t>
      </w:r>
    </w:p>
    <w:p w:rsidR="005F50C0" w:rsidRDefault="005F50C0" w:rsidP="001B06BB">
      <w:pPr>
        <w:spacing w:line="360" w:lineRule="atLeast"/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 xml:space="preserve">2. Определить Агентство по науке Республики Тыва уполномоченным и </w:t>
      </w:r>
      <w:r w:rsidR="001B06BB">
        <w:rPr>
          <w:sz w:val="28"/>
          <w:szCs w:val="28"/>
        </w:rPr>
        <w:t xml:space="preserve">              </w:t>
      </w:r>
      <w:r w:rsidRPr="001B06BB">
        <w:rPr>
          <w:sz w:val="28"/>
          <w:szCs w:val="28"/>
        </w:rPr>
        <w:t>ответственным органом исполнительной власти Республики Тыва за реализацию Соглашения.</w:t>
      </w:r>
    </w:p>
    <w:p w:rsidR="006D2883" w:rsidRPr="001B06BB" w:rsidRDefault="006D2883" w:rsidP="001B06BB">
      <w:pPr>
        <w:spacing w:line="360" w:lineRule="atLeast"/>
        <w:ind w:firstLine="709"/>
        <w:jc w:val="both"/>
        <w:rPr>
          <w:sz w:val="28"/>
          <w:szCs w:val="28"/>
        </w:rPr>
      </w:pPr>
    </w:p>
    <w:p w:rsidR="005F50C0" w:rsidRPr="001B06BB" w:rsidRDefault="005F50C0" w:rsidP="001B06BB">
      <w:pPr>
        <w:spacing w:line="360" w:lineRule="atLeast"/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lastRenderedPageBreak/>
        <w:t xml:space="preserve">3. Разместить настоящее постановление на </w:t>
      </w:r>
      <w:r w:rsidR="001B06BB">
        <w:rPr>
          <w:sz w:val="28"/>
          <w:szCs w:val="28"/>
        </w:rPr>
        <w:t>«О</w:t>
      </w:r>
      <w:r w:rsidRPr="001B06BB">
        <w:rPr>
          <w:sz w:val="28"/>
          <w:szCs w:val="28"/>
        </w:rPr>
        <w:t>фициальном интернет-портале правовой информации</w:t>
      </w:r>
      <w:r w:rsidR="001B06BB">
        <w:rPr>
          <w:sz w:val="28"/>
          <w:szCs w:val="28"/>
        </w:rPr>
        <w:t>»</w:t>
      </w:r>
      <w:r w:rsidRPr="001B06BB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B06BB">
        <w:rPr>
          <w:sz w:val="28"/>
          <w:szCs w:val="28"/>
        </w:rPr>
        <w:t>«</w:t>
      </w:r>
      <w:r w:rsidRPr="001B06BB">
        <w:rPr>
          <w:sz w:val="28"/>
          <w:szCs w:val="28"/>
        </w:rPr>
        <w:t>Интернет</w:t>
      </w:r>
      <w:r w:rsidR="001B06BB">
        <w:rPr>
          <w:sz w:val="28"/>
          <w:szCs w:val="28"/>
        </w:rPr>
        <w:t>»</w:t>
      </w:r>
      <w:r w:rsidRPr="001B06BB">
        <w:rPr>
          <w:sz w:val="28"/>
          <w:szCs w:val="28"/>
        </w:rPr>
        <w:t>.</w:t>
      </w:r>
    </w:p>
    <w:p w:rsidR="005F50C0" w:rsidRDefault="005F50C0" w:rsidP="001B06BB">
      <w:pPr>
        <w:rPr>
          <w:sz w:val="28"/>
          <w:szCs w:val="28"/>
        </w:rPr>
      </w:pPr>
    </w:p>
    <w:p w:rsidR="001B06BB" w:rsidRPr="001B06BB" w:rsidRDefault="001B06BB" w:rsidP="001B06BB">
      <w:pPr>
        <w:rPr>
          <w:sz w:val="28"/>
          <w:szCs w:val="28"/>
        </w:rPr>
      </w:pPr>
    </w:p>
    <w:p w:rsidR="00050BAD" w:rsidRPr="001B06BB" w:rsidRDefault="00050BAD" w:rsidP="001B06BB">
      <w:pPr>
        <w:rPr>
          <w:sz w:val="28"/>
          <w:szCs w:val="28"/>
        </w:rPr>
      </w:pPr>
    </w:p>
    <w:p w:rsidR="005F50C0" w:rsidRPr="001B06BB" w:rsidRDefault="005F50C0" w:rsidP="001B06BB">
      <w:pPr>
        <w:rPr>
          <w:sz w:val="28"/>
          <w:szCs w:val="28"/>
        </w:rPr>
      </w:pPr>
      <w:r w:rsidRPr="001B06BB">
        <w:rPr>
          <w:sz w:val="28"/>
          <w:szCs w:val="28"/>
        </w:rPr>
        <w:t>Глава Республики Тыва</w:t>
      </w:r>
      <w:r w:rsidR="001B06BB">
        <w:rPr>
          <w:sz w:val="28"/>
          <w:szCs w:val="28"/>
        </w:rPr>
        <w:t xml:space="preserve">                                                                                     </w:t>
      </w:r>
      <w:r w:rsidRPr="001B06BB">
        <w:rPr>
          <w:sz w:val="28"/>
          <w:szCs w:val="28"/>
        </w:rPr>
        <w:t xml:space="preserve">В. </w:t>
      </w:r>
      <w:proofErr w:type="spellStart"/>
      <w:r w:rsidR="001B06BB" w:rsidRPr="001B06BB">
        <w:rPr>
          <w:sz w:val="28"/>
          <w:szCs w:val="28"/>
        </w:rPr>
        <w:t>Ховалыг</w:t>
      </w:r>
      <w:proofErr w:type="spellEnd"/>
    </w:p>
    <w:p w:rsidR="00583B6C" w:rsidRDefault="00583B6C" w:rsidP="001B06BB">
      <w:pPr>
        <w:rPr>
          <w:sz w:val="28"/>
          <w:szCs w:val="28"/>
        </w:rPr>
      </w:pPr>
    </w:p>
    <w:p w:rsidR="005F50C0" w:rsidRDefault="005F50C0">
      <w:pPr>
        <w:rPr>
          <w:sz w:val="28"/>
          <w:szCs w:val="28"/>
        </w:rPr>
      </w:pPr>
    </w:p>
    <w:p w:rsidR="001B06BB" w:rsidRDefault="001B06BB">
      <w:pPr>
        <w:rPr>
          <w:sz w:val="28"/>
          <w:szCs w:val="28"/>
        </w:rPr>
        <w:sectPr w:rsidR="001B06BB" w:rsidSect="001B06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B06BB" w:rsidRDefault="001B06BB" w:rsidP="001B06B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Одобрен</w:t>
      </w:r>
    </w:p>
    <w:p w:rsidR="001B06BB" w:rsidRDefault="001B06BB" w:rsidP="001B06B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5F50C0" w:rsidRDefault="001B06BB" w:rsidP="001B06B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</w:t>
      </w:r>
    </w:p>
    <w:p w:rsidR="00D87452" w:rsidRDefault="00D87452" w:rsidP="00D87452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20 октября 2022 г. № 685</w:t>
      </w:r>
    </w:p>
    <w:p w:rsidR="001B06BB" w:rsidRDefault="001B06BB" w:rsidP="001B06BB">
      <w:pPr>
        <w:ind w:left="5670"/>
        <w:jc w:val="center"/>
        <w:rPr>
          <w:sz w:val="28"/>
          <w:szCs w:val="28"/>
        </w:rPr>
      </w:pPr>
    </w:p>
    <w:p w:rsidR="001B06BB" w:rsidRDefault="001B06BB" w:rsidP="001B06BB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F50C0" w:rsidRDefault="005F50C0">
      <w:pPr>
        <w:rPr>
          <w:sz w:val="28"/>
          <w:szCs w:val="28"/>
        </w:rPr>
      </w:pPr>
    </w:p>
    <w:p w:rsidR="001B06BB" w:rsidRPr="001B06BB" w:rsidRDefault="005F50C0" w:rsidP="001B06BB">
      <w:pPr>
        <w:jc w:val="center"/>
        <w:rPr>
          <w:b/>
          <w:sz w:val="28"/>
          <w:szCs w:val="28"/>
        </w:rPr>
      </w:pPr>
      <w:r w:rsidRPr="001B06BB">
        <w:rPr>
          <w:b/>
          <w:sz w:val="28"/>
          <w:szCs w:val="28"/>
        </w:rPr>
        <w:t>С</w:t>
      </w:r>
      <w:r w:rsidR="001B06BB"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>О</w:t>
      </w:r>
      <w:r w:rsidR="001B06BB"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>Г</w:t>
      </w:r>
      <w:r w:rsidR="001B06BB"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>Л</w:t>
      </w:r>
      <w:r w:rsidR="001B06BB"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>А</w:t>
      </w:r>
      <w:r w:rsidR="001B06BB"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>Ш</w:t>
      </w:r>
      <w:r w:rsidR="001B06BB"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>Е</w:t>
      </w:r>
      <w:r w:rsidR="001B06BB"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>Н</w:t>
      </w:r>
      <w:r w:rsidR="001B06BB"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>И</w:t>
      </w:r>
      <w:r w:rsidR="001B06BB">
        <w:rPr>
          <w:b/>
          <w:sz w:val="28"/>
          <w:szCs w:val="28"/>
        </w:rPr>
        <w:t xml:space="preserve"> </w:t>
      </w:r>
      <w:r w:rsidRPr="001B06BB">
        <w:rPr>
          <w:b/>
          <w:sz w:val="28"/>
          <w:szCs w:val="28"/>
        </w:rPr>
        <w:t>Е</w:t>
      </w:r>
    </w:p>
    <w:p w:rsidR="005F50C0" w:rsidRPr="001B06BB" w:rsidRDefault="001B06BB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>Правительством Республики Тыва</w:t>
      </w:r>
    </w:p>
    <w:p w:rsidR="001B06BB" w:rsidRDefault="001B06BB" w:rsidP="001B06BB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B06BB">
        <w:rPr>
          <w:sz w:val="28"/>
          <w:szCs w:val="28"/>
        </w:rPr>
        <w:t xml:space="preserve"> Государственным Эрмитажем</w:t>
      </w:r>
      <w:r>
        <w:rPr>
          <w:sz w:val="28"/>
          <w:szCs w:val="28"/>
        </w:rPr>
        <w:t xml:space="preserve"> </w:t>
      </w:r>
      <w:r w:rsidR="005F50C0" w:rsidRPr="001B06BB">
        <w:rPr>
          <w:sz w:val="28"/>
          <w:szCs w:val="28"/>
        </w:rPr>
        <w:t xml:space="preserve">об условиях </w:t>
      </w:r>
    </w:p>
    <w:p w:rsidR="001B06BB" w:rsidRDefault="005F50C0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 xml:space="preserve">проведения работ по научному изучению, реставрации, </w:t>
      </w:r>
    </w:p>
    <w:p w:rsidR="001B06BB" w:rsidRDefault="005F50C0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 xml:space="preserve">консервации и реконструкции археологических </w:t>
      </w:r>
    </w:p>
    <w:p w:rsidR="001B06BB" w:rsidRDefault="005F50C0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предметов из раскопок погребально-поминального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 xml:space="preserve"> комплекса </w:t>
      </w:r>
      <w:proofErr w:type="spellStart"/>
      <w:r w:rsidRPr="001B06BB">
        <w:rPr>
          <w:sz w:val="28"/>
          <w:szCs w:val="28"/>
        </w:rPr>
        <w:t>Чинге-Тэй</w:t>
      </w:r>
      <w:proofErr w:type="spellEnd"/>
      <w:r w:rsidR="00E6425A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>I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 xml:space="preserve">Правительство Республики Тыва в лице Главы Республики Тыва </w:t>
      </w:r>
      <w:proofErr w:type="spellStart"/>
      <w:r w:rsidRPr="001B06BB">
        <w:rPr>
          <w:sz w:val="28"/>
          <w:szCs w:val="28"/>
        </w:rPr>
        <w:t>Ховалыга</w:t>
      </w:r>
      <w:proofErr w:type="spellEnd"/>
      <w:r w:rsidRPr="001B06BB">
        <w:rPr>
          <w:sz w:val="28"/>
          <w:szCs w:val="28"/>
        </w:rPr>
        <w:t xml:space="preserve"> Владислава </w:t>
      </w:r>
      <w:proofErr w:type="spellStart"/>
      <w:r w:rsidRPr="001B06BB">
        <w:rPr>
          <w:sz w:val="28"/>
          <w:szCs w:val="28"/>
        </w:rPr>
        <w:t>Товарищтайовича</w:t>
      </w:r>
      <w:proofErr w:type="spellEnd"/>
      <w:r w:rsidRPr="001B06BB">
        <w:rPr>
          <w:sz w:val="28"/>
          <w:szCs w:val="28"/>
        </w:rPr>
        <w:t>, действующего на основании Конституции Республики Тыва, и</w:t>
      </w:r>
      <w:r w:rsidR="00E6425A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 xml:space="preserve">федеральное государственное бюджетное учреждение культуры </w:t>
      </w:r>
      <w:r w:rsidR="00E6425A">
        <w:rPr>
          <w:sz w:val="28"/>
          <w:szCs w:val="28"/>
        </w:rPr>
        <w:t>«</w:t>
      </w:r>
      <w:r w:rsidRPr="001B06BB">
        <w:rPr>
          <w:sz w:val="28"/>
          <w:szCs w:val="28"/>
        </w:rPr>
        <w:t>Государственный Эрмитаж</w:t>
      </w:r>
      <w:r w:rsidR="00E6425A">
        <w:rPr>
          <w:sz w:val="28"/>
          <w:szCs w:val="28"/>
        </w:rPr>
        <w:t>»</w:t>
      </w:r>
      <w:r w:rsidRPr="001B06BB">
        <w:rPr>
          <w:sz w:val="28"/>
          <w:szCs w:val="28"/>
        </w:rPr>
        <w:t xml:space="preserve"> (далее – Государственный Эрмитаж), в лице </w:t>
      </w:r>
      <w:r w:rsidR="00E6425A">
        <w:rPr>
          <w:sz w:val="28"/>
          <w:szCs w:val="28"/>
        </w:rPr>
        <w:t>г</w:t>
      </w:r>
      <w:r w:rsidRPr="001B06BB">
        <w:rPr>
          <w:sz w:val="28"/>
          <w:szCs w:val="28"/>
        </w:rPr>
        <w:t>енерального директора Михаила Борисовича Пиотровского, действующего на основании Устава, с другой стороны,</w:t>
      </w:r>
      <w:r w:rsidR="00E6425A">
        <w:rPr>
          <w:sz w:val="28"/>
          <w:szCs w:val="28"/>
        </w:rPr>
        <w:t xml:space="preserve"> вместе именуемые «Стороны», </w:t>
      </w:r>
      <w:r w:rsidRPr="001B06BB">
        <w:rPr>
          <w:sz w:val="28"/>
          <w:szCs w:val="28"/>
        </w:rPr>
        <w:t>исходя из взаимного стремления к укреплению научных и культурных связей,</w:t>
      </w:r>
      <w:r w:rsidR="00E6425A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>заключили настоящее Соглашение об условиях проведения работ по научному изучению, включающему исследования, реставрацию и консервацию археологических предметов из раскопок Южно-Сибирской археологической экспедиции под руководством К.В.</w:t>
      </w:r>
      <w:r w:rsidR="00E6425A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 xml:space="preserve">Чугунова на территории погребально-поминального комплекса </w:t>
      </w:r>
      <w:proofErr w:type="spellStart"/>
      <w:r w:rsidRPr="001B06BB">
        <w:rPr>
          <w:sz w:val="28"/>
          <w:szCs w:val="28"/>
        </w:rPr>
        <w:t>Чинге-Тэй</w:t>
      </w:r>
      <w:proofErr w:type="spellEnd"/>
      <w:r w:rsidRPr="001B06BB">
        <w:rPr>
          <w:sz w:val="28"/>
          <w:szCs w:val="28"/>
        </w:rPr>
        <w:t xml:space="preserve"> I около деревни </w:t>
      </w:r>
      <w:proofErr w:type="spellStart"/>
      <w:r w:rsidRPr="001B06BB">
        <w:rPr>
          <w:sz w:val="28"/>
          <w:szCs w:val="28"/>
        </w:rPr>
        <w:t>Чкаловка</w:t>
      </w:r>
      <w:proofErr w:type="spellEnd"/>
      <w:r w:rsidRPr="001B06BB">
        <w:rPr>
          <w:sz w:val="28"/>
          <w:szCs w:val="28"/>
        </w:rPr>
        <w:t xml:space="preserve"> в Пий-</w:t>
      </w:r>
      <w:proofErr w:type="spellStart"/>
      <w:r w:rsidRPr="001B06BB">
        <w:rPr>
          <w:sz w:val="28"/>
          <w:szCs w:val="28"/>
        </w:rPr>
        <w:t>Хемском</w:t>
      </w:r>
      <w:proofErr w:type="spellEnd"/>
      <w:r w:rsidRPr="001B06BB">
        <w:rPr>
          <w:sz w:val="28"/>
          <w:szCs w:val="28"/>
        </w:rPr>
        <w:t xml:space="preserve"> районе Республики Тыва сроком на 3 (три) года.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1B06BB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Статья 1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Правительство Республики Тыва и Государственный Эрмитаж принимают на себя обязательства по организации в Государственном Эрмитаже работ по научному изучению, реставрации</w:t>
      </w:r>
      <w:r w:rsidR="001811DC" w:rsidRPr="001B06BB">
        <w:rPr>
          <w:sz w:val="28"/>
          <w:szCs w:val="28"/>
        </w:rPr>
        <w:t>,</w:t>
      </w:r>
      <w:r w:rsidRPr="001B06BB">
        <w:rPr>
          <w:sz w:val="28"/>
          <w:szCs w:val="28"/>
        </w:rPr>
        <w:t xml:space="preserve"> консервации </w:t>
      </w:r>
      <w:r w:rsidR="001811DC" w:rsidRPr="001B06BB">
        <w:rPr>
          <w:sz w:val="28"/>
          <w:szCs w:val="28"/>
        </w:rPr>
        <w:t xml:space="preserve">и реконструкции </w:t>
      </w:r>
      <w:r w:rsidRPr="001B06BB">
        <w:rPr>
          <w:sz w:val="28"/>
          <w:szCs w:val="28"/>
        </w:rPr>
        <w:t>группы археологических предметов из раскопок Южно-Сибирской археологической экспедиции под руководством К.В.</w:t>
      </w:r>
      <w:r w:rsidR="00E6425A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 xml:space="preserve">Чугунова на территории погребально-поминального комплекса </w:t>
      </w:r>
      <w:proofErr w:type="spellStart"/>
      <w:r w:rsidRPr="001B06BB">
        <w:rPr>
          <w:sz w:val="28"/>
          <w:szCs w:val="28"/>
        </w:rPr>
        <w:t>Чинге-Тэй</w:t>
      </w:r>
      <w:proofErr w:type="spellEnd"/>
      <w:r w:rsidRPr="001B06BB">
        <w:rPr>
          <w:sz w:val="28"/>
          <w:szCs w:val="28"/>
        </w:rPr>
        <w:t xml:space="preserve"> I около деревни </w:t>
      </w:r>
      <w:proofErr w:type="spellStart"/>
      <w:r w:rsidRPr="001B06BB">
        <w:rPr>
          <w:sz w:val="28"/>
          <w:szCs w:val="28"/>
        </w:rPr>
        <w:t>Чкаловка</w:t>
      </w:r>
      <w:proofErr w:type="spellEnd"/>
      <w:r w:rsidR="001B06BB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>Пий-</w:t>
      </w:r>
      <w:proofErr w:type="spellStart"/>
      <w:r w:rsidRPr="001B06BB">
        <w:rPr>
          <w:sz w:val="28"/>
          <w:szCs w:val="28"/>
        </w:rPr>
        <w:t>Хемского</w:t>
      </w:r>
      <w:proofErr w:type="spellEnd"/>
      <w:r w:rsidRPr="001B06BB">
        <w:rPr>
          <w:sz w:val="28"/>
          <w:szCs w:val="28"/>
        </w:rPr>
        <w:t xml:space="preserve"> района Республики Тыва, принятых на камеральную обработку и временное хранение в Государственный Эрмитаж. Археологические предметы, указанные в Акте приема на камеральную обработку, подлежат обязательной </w:t>
      </w:r>
      <w:proofErr w:type="spellStart"/>
      <w:r w:rsidRPr="001B06BB">
        <w:rPr>
          <w:sz w:val="28"/>
          <w:szCs w:val="28"/>
        </w:rPr>
        <w:t>фотофиксации</w:t>
      </w:r>
      <w:proofErr w:type="spellEnd"/>
      <w:r w:rsidRPr="001B06BB">
        <w:rPr>
          <w:sz w:val="28"/>
          <w:szCs w:val="28"/>
        </w:rPr>
        <w:t xml:space="preserve"> перед передачей их на временное хранение.</w:t>
      </w:r>
    </w:p>
    <w:p w:rsidR="005F50C0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Общее научное руководство комплексом мероприятий по научному изучению, реставрации</w:t>
      </w:r>
      <w:r w:rsidR="001811DC" w:rsidRPr="001B06BB">
        <w:rPr>
          <w:sz w:val="28"/>
          <w:szCs w:val="28"/>
        </w:rPr>
        <w:t>,</w:t>
      </w:r>
      <w:r w:rsidRPr="001B06BB">
        <w:rPr>
          <w:sz w:val="28"/>
          <w:szCs w:val="28"/>
        </w:rPr>
        <w:t xml:space="preserve"> консервации и реконструкции археологических предметов возлагается на заместителя </w:t>
      </w:r>
      <w:r w:rsidR="008C5199" w:rsidRPr="001B06BB">
        <w:rPr>
          <w:sz w:val="28"/>
          <w:szCs w:val="28"/>
        </w:rPr>
        <w:t>г</w:t>
      </w:r>
      <w:r w:rsidRPr="001B06BB">
        <w:rPr>
          <w:sz w:val="28"/>
          <w:szCs w:val="28"/>
        </w:rPr>
        <w:t>енерального директора Государственного Эрмитажа по научной работе Вилинбахова Георгия Вадимовича.</w:t>
      </w:r>
    </w:p>
    <w:p w:rsidR="00E6425A" w:rsidRDefault="00E6425A" w:rsidP="001B06BB">
      <w:pPr>
        <w:ind w:firstLine="709"/>
        <w:jc w:val="both"/>
        <w:rPr>
          <w:sz w:val="28"/>
          <w:szCs w:val="28"/>
        </w:rPr>
      </w:pPr>
    </w:p>
    <w:p w:rsidR="00E6425A" w:rsidRPr="001B06BB" w:rsidRDefault="00E6425A" w:rsidP="001B06BB">
      <w:pPr>
        <w:ind w:firstLine="709"/>
        <w:jc w:val="both"/>
        <w:rPr>
          <w:sz w:val="28"/>
          <w:szCs w:val="28"/>
        </w:rPr>
      </w:pPr>
    </w:p>
    <w:p w:rsidR="005F50C0" w:rsidRPr="001B06BB" w:rsidRDefault="001B06BB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Статья 2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Реставрационные задания на проведение работ по реставрации, консервации и реконструкции археологических предметов из раскопок Южно-Сибирской археологической экспедиции под руководством К.В.</w:t>
      </w:r>
      <w:r w:rsidR="00E6425A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>Чугунова подготавливаются начальником археологической экспедиции К.В.</w:t>
      </w:r>
      <w:r w:rsidR="00E6425A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 xml:space="preserve">Чугуновым и научными сотрудниками и художниками-реставраторами Государственного Эрмитажа, при участии Правительства Республики Тыва в лице представителя Министерства культуры Республики </w:t>
      </w:r>
      <w:r w:rsidR="00E6425A">
        <w:rPr>
          <w:sz w:val="28"/>
          <w:szCs w:val="28"/>
        </w:rPr>
        <w:t xml:space="preserve">          </w:t>
      </w:r>
      <w:r w:rsidRPr="001B06BB">
        <w:rPr>
          <w:sz w:val="28"/>
          <w:szCs w:val="28"/>
        </w:rPr>
        <w:t>Тыва. Реставрационные задания и Календарный план производства работ подлежат утверждению на заседании Реставрационной комиссии Государственного Эрмитажа, проводимой с участием начальника Южно-Сибирской археологической экспедиции К.В.</w:t>
      </w:r>
      <w:r w:rsidR="00E6425A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>Чугунова и Правительства Республики Тыва в лице представителя</w:t>
      </w:r>
      <w:r w:rsidR="00E6425A">
        <w:rPr>
          <w:sz w:val="28"/>
          <w:szCs w:val="28"/>
        </w:rPr>
        <w:t xml:space="preserve">        </w:t>
      </w:r>
      <w:r w:rsidRPr="001B06BB">
        <w:rPr>
          <w:sz w:val="28"/>
          <w:szCs w:val="28"/>
        </w:rPr>
        <w:t xml:space="preserve"> Министерства культуры Республики Тыва.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Необходимые физико-химические исследования и реставрационные и консервационные работы выполняются в соответствии с утвержденными Реставрационной комиссией Государственного Эрмитажа заданиями.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Контроль за ходом выполнения работ по реставрации и консервации археологических предметов из раскопок археологической экспедиции под руководством К.В.</w:t>
      </w:r>
      <w:r w:rsidR="00E6425A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 xml:space="preserve">Чугунова на территории погребально-поминального комплекса </w:t>
      </w:r>
      <w:proofErr w:type="spellStart"/>
      <w:r w:rsidRPr="001B06BB">
        <w:rPr>
          <w:sz w:val="28"/>
          <w:szCs w:val="28"/>
        </w:rPr>
        <w:t>Чинге-Тэй</w:t>
      </w:r>
      <w:proofErr w:type="spellEnd"/>
      <w:r w:rsidRPr="001B06BB">
        <w:rPr>
          <w:sz w:val="28"/>
          <w:szCs w:val="28"/>
        </w:rPr>
        <w:t xml:space="preserve"> I около деревни </w:t>
      </w:r>
      <w:proofErr w:type="spellStart"/>
      <w:r w:rsidRPr="001B06BB">
        <w:rPr>
          <w:sz w:val="28"/>
          <w:szCs w:val="28"/>
        </w:rPr>
        <w:t>Чкаловка</w:t>
      </w:r>
      <w:proofErr w:type="spellEnd"/>
      <w:r w:rsidR="001B06BB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>Пий-</w:t>
      </w:r>
      <w:proofErr w:type="spellStart"/>
      <w:r w:rsidRPr="001B06BB">
        <w:rPr>
          <w:sz w:val="28"/>
          <w:szCs w:val="28"/>
        </w:rPr>
        <w:t>Хемского</w:t>
      </w:r>
      <w:proofErr w:type="spellEnd"/>
      <w:r w:rsidRPr="001B06BB">
        <w:rPr>
          <w:sz w:val="28"/>
          <w:szCs w:val="28"/>
        </w:rPr>
        <w:t xml:space="preserve"> района Республики Тыва возлагается на заместителя генерального директора, главного хранителя </w:t>
      </w:r>
      <w:r w:rsidR="00E6425A" w:rsidRPr="001B06BB">
        <w:rPr>
          <w:sz w:val="28"/>
          <w:szCs w:val="28"/>
        </w:rPr>
        <w:t>Государственн</w:t>
      </w:r>
      <w:r w:rsidR="00E6425A">
        <w:rPr>
          <w:sz w:val="28"/>
          <w:szCs w:val="28"/>
        </w:rPr>
        <w:t>ого</w:t>
      </w:r>
      <w:r w:rsidR="00E6425A" w:rsidRPr="001B06BB">
        <w:rPr>
          <w:sz w:val="28"/>
          <w:szCs w:val="28"/>
        </w:rPr>
        <w:t xml:space="preserve"> Эрмитаж</w:t>
      </w:r>
      <w:r w:rsidR="00E6425A">
        <w:rPr>
          <w:sz w:val="28"/>
          <w:szCs w:val="28"/>
        </w:rPr>
        <w:t>а</w:t>
      </w:r>
      <w:r w:rsidR="00E6425A" w:rsidRPr="001B06BB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 xml:space="preserve">Светлану Борисовну </w:t>
      </w:r>
      <w:proofErr w:type="spellStart"/>
      <w:r w:rsidRPr="001B06BB">
        <w:rPr>
          <w:sz w:val="28"/>
          <w:szCs w:val="28"/>
        </w:rPr>
        <w:t>Адаксину</w:t>
      </w:r>
      <w:proofErr w:type="spellEnd"/>
      <w:r w:rsidRPr="001B06BB">
        <w:rPr>
          <w:sz w:val="28"/>
          <w:szCs w:val="28"/>
        </w:rPr>
        <w:t>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 xml:space="preserve">В обязательном порядке в ходе проведения физико-химических исследований, реставрационных и консервационных работ осуществляется </w:t>
      </w:r>
      <w:proofErr w:type="spellStart"/>
      <w:r w:rsidRPr="001B06BB">
        <w:rPr>
          <w:sz w:val="28"/>
          <w:szCs w:val="28"/>
        </w:rPr>
        <w:t>фотофиксация</w:t>
      </w:r>
      <w:proofErr w:type="spellEnd"/>
      <w:r w:rsidRPr="001B06BB">
        <w:rPr>
          <w:sz w:val="28"/>
          <w:szCs w:val="28"/>
        </w:rPr>
        <w:t xml:space="preserve"> предметов на основных этапах производства реставрационных и консервационных работ и фиксируется в паспортах реставрации экспонатов.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По результатам проведения камеральной обработки Государственный Эрмитаж составляет опись археологических предметов (далее – Опись), которая становится неотъемлемой частью настоящего Соглашения.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После завершения комплекса работ, указанных в статье 1 настоящего Соглашения</w:t>
      </w:r>
      <w:r w:rsidR="00E6425A">
        <w:rPr>
          <w:sz w:val="28"/>
          <w:szCs w:val="28"/>
        </w:rPr>
        <w:t>,</w:t>
      </w:r>
      <w:r w:rsidRPr="001B06BB">
        <w:rPr>
          <w:sz w:val="28"/>
          <w:szCs w:val="28"/>
        </w:rPr>
        <w:t xml:space="preserve"> Реставрационная комиссия Государственного Эрмитажа принимает результат работ, что подлежит фиксации в протоколах заседаний Реставрационной комиссии Государственного Эрмитажа. Приемка результата работ осуществляется при участии представителей, определенных Правительством Республики Тыва.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Приемка археологических предметов осуществляется на основании акта приема-передачи в соответствии с Описью.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1B06BB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Статья 3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При необходимости коммерческого использования изображений археологических предметов из раскопок Южно-Сибирской археологической экспедиции под руководством К.В.</w:t>
      </w:r>
      <w:r w:rsidR="00E6425A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 xml:space="preserve">Чугунова на территории погребально-поминального комплекса </w:t>
      </w:r>
      <w:proofErr w:type="spellStart"/>
      <w:r w:rsidRPr="001B06BB">
        <w:rPr>
          <w:sz w:val="28"/>
          <w:szCs w:val="28"/>
        </w:rPr>
        <w:t>Чинге-Тэй</w:t>
      </w:r>
      <w:proofErr w:type="spellEnd"/>
      <w:r w:rsidRPr="001B06BB">
        <w:rPr>
          <w:sz w:val="28"/>
          <w:szCs w:val="28"/>
        </w:rPr>
        <w:t xml:space="preserve"> I около деревни </w:t>
      </w:r>
      <w:proofErr w:type="spellStart"/>
      <w:r w:rsidRPr="001B06BB">
        <w:rPr>
          <w:sz w:val="28"/>
          <w:szCs w:val="28"/>
        </w:rPr>
        <w:t>Чкаловка</w:t>
      </w:r>
      <w:proofErr w:type="spellEnd"/>
      <w:r w:rsidR="001B06BB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>Пий-</w:t>
      </w:r>
      <w:proofErr w:type="spellStart"/>
      <w:r w:rsidRPr="001B06BB">
        <w:rPr>
          <w:sz w:val="28"/>
          <w:szCs w:val="28"/>
        </w:rPr>
        <w:t>Хемского</w:t>
      </w:r>
      <w:proofErr w:type="spellEnd"/>
      <w:r w:rsidRPr="001B06BB">
        <w:rPr>
          <w:sz w:val="28"/>
          <w:szCs w:val="28"/>
        </w:rPr>
        <w:t xml:space="preserve"> района Республики</w:t>
      </w:r>
      <w:r w:rsidR="008C5199" w:rsidRPr="001B06BB">
        <w:rPr>
          <w:sz w:val="28"/>
          <w:szCs w:val="28"/>
        </w:rPr>
        <w:t xml:space="preserve"> Тыва</w:t>
      </w:r>
      <w:r w:rsidR="00E6425A">
        <w:rPr>
          <w:sz w:val="28"/>
          <w:szCs w:val="28"/>
        </w:rPr>
        <w:t xml:space="preserve"> </w:t>
      </w:r>
      <w:r w:rsidRPr="001B06BB">
        <w:rPr>
          <w:sz w:val="28"/>
          <w:szCs w:val="28"/>
        </w:rPr>
        <w:t xml:space="preserve">условия </w:t>
      </w:r>
      <w:r w:rsidRPr="001B06BB">
        <w:rPr>
          <w:sz w:val="28"/>
          <w:szCs w:val="28"/>
        </w:rPr>
        <w:lastRenderedPageBreak/>
        <w:t>такого использования подлежат урегулированию на основании отдельного дого</w:t>
      </w:r>
      <w:r w:rsidR="00E6425A">
        <w:rPr>
          <w:sz w:val="28"/>
          <w:szCs w:val="28"/>
        </w:rPr>
        <w:t>вора между С</w:t>
      </w:r>
      <w:r w:rsidRPr="001B06BB">
        <w:rPr>
          <w:sz w:val="28"/>
          <w:szCs w:val="28"/>
        </w:rPr>
        <w:t>торонами.</w:t>
      </w:r>
    </w:p>
    <w:p w:rsidR="005F50C0" w:rsidRPr="001B06BB" w:rsidRDefault="001B06BB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Статья 4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Стороны по настоящему Соглашению освобождаются от ответственности за неисполнение или ненадлежащее исполнение своих обязательств по настоящему Соглашению в случае возникновения форс-мажорных обстоятельств, то есть таких событий стихийного характера, находящихся вне контроля сторон (стихийные бедствия, пожары, наводнения, землетрясения, военные действия или введение чрезвычайного положения, внесение изменений в законодательство Российской Федерации), которые прямо препятству</w:t>
      </w:r>
      <w:r w:rsidR="00E6425A">
        <w:rPr>
          <w:sz w:val="28"/>
          <w:szCs w:val="28"/>
        </w:rPr>
        <w:t>ют С</w:t>
      </w:r>
      <w:r w:rsidR="001B06BB">
        <w:rPr>
          <w:sz w:val="28"/>
          <w:szCs w:val="28"/>
        </w:rPr>
        <w:t>торонам и (</w:t>
      </w:r>
      <w:r w:rsidRPr="001B06BB">
        <w:rPr>
          <w:sz w:val="28"/>
          <w:szCs w:val="28"/>
        </w:rPr>
        <w:t>или</w:t>
      </w:r>
      <w:r w:rsidR="001B06BB">
        <w:rPr>
          <w:sz w:val="28"/>
          <w:szCs w:val="28"/>
        </w:rPr>
        <w:t>)</w:t>
      </w:r>
      <w:r w:rsidR="00E6425A">
        <w:rPr>
          <w:sz w:val="28"/>
          <w:szCs w:val="28"/>
        </w:rPr>
        <w:t xml:space="preserve"> одной из С</w:t>
      </w:r>
      <w:r w:rsidRPr="001B06BB">
        <w:rPr>
          <w:sz w:val="28"/>
          <w:szCs w:val="28"/>
        </w:rPr>
        <w:t>торон осуществлению своих обязательств по</w:t>
      </w:r>
      <w:r w:rsidR="00E6425A">
        <w:rPr>
          <w:sz w:val="28"/>
          <w:szCs w:val="28"/>
        </w:rPr>
        <w:t xml:space="preserve"> настоящему Соглашению, причем С</w:t>
      </w:r>
      <w:r w:rsidRPr="001B06BB">
        <w:rPr>
          <w:sz w:val="28"/>
          <w:szCs w:val="28"/>
        </w:rPr>
        <w:t>тороны приложат все усилия к уменьшению негативных результатов действия форс-мажорных обстоятельств и продолжат сотрудничество незамедлительно после устранения таких обстоятельств. При этом в случае возникновения подобных форс-мажорных, то есть непредвиденных обстоятельств в ходе подготовки и проведения работ по реставрации и консервации археологических предметов, эти работы откладываются на срок, необходимый для устранения причин, вызывающих их задержку.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1B06BB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Статья 5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Споры, которые могут возникнуть при заключении и исполнении условий настоя</w:t>
      </w:r>
      <w:r w:rsidR="00E6425A">
        <w:rPr>
          <w:sz w:val="28"/>
          <w:szCs w:val="28"/>
        </w:rPr>
        <w:t>щего Соглашения, С</w:t>
      </w:r>
      <w:r w:rsidRPr="001B06BB">
        <w:rPr>
          <w:sz w:val="28"/>
          <w:szCs w:val="28"/>
        </w:rPr>
        <w:t>тороны будут стремиться разрешать путем переговоров в порядке досудебного разби</w:t>
      </w:r>
      <w:r w:rsidR="00E6425A">
        <w:rPr>
          <w:sz w:val="28"/>
          <w:szCs w:val="28"/>
        </w:rPr>
        <w:t>рательства. При этом каждая из С</w:t>
      </w:r>
      <w:r w:rsidRPr="001B06BB">
        <w:rPr>
          <w:sz w:val="28"/>
          <w:szCs w:val="28"/>
        </w:rPr>
        <w:t xml:space="preserve">торон вправе претендовать на наличие у нее в письменном виде результатов разрешения возникших вопросов. При </w:t>
      </w:r>
      <w:proofErr w:type="spellStart"/>
      <w:r w:rsidRPr="001B06BB">
        <w:rPr>
          <w:sz w:val="28"/>
          <w:szCs w:val="28"/>
        </w:rPr>
        <w:t>недостиж</w:t>
      </w:r>
      <w:r w:rsidR="00E6425A">
        <w:rPr>
          <w:sz w:val="28"/>
          <w:szCs w:val="28"/>
        </w:rPr>
        <w:t>ении</w:t>
      </w:r>
      <w:proofErr w:type="spellEnd"/>
      <w:r w:rsidR="00E6425A">
        <w:rPr>
          <w:sz w:val="28"/>
          <w:szCs w:val="28"/>
        </w:rPr>
        <w:t xml:space="preserve"> взаимоприемлемого решения С</w:t>
      </w:r>
      <w:r w:rsidRPr="001B06BB">
        <w:rPr>
          <w:sz w:val="28"/>
          <w:szCs w:val="28"/>
        </w:rPr>
        <w:t>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По всем вопросам, не нашедшим своего решения в тексте и условиях настоящего Соглашения, но прямо или косвенно вытекающими из отноше</w:t>
      </w:r>
      <w:r w:rsidR="00E6425A">
        <w:rPr>
          <w:sz w:val="28"/>
          <w:szCs w:val="28"/>
        </w:rPr>
        <w:t>ний С</w:t>
      </w:r>
      <w:r w:rsidRPr="001B06BB">
        <w:rPr>
          <w:sz w:val="28"/>
          <w:szCs w:val="28"/>
        </w:rPr>
        <w:t>торон по нему, затрагивающих имущественные интересы и деловую репутацию сторон, имея в виду необходимость защиты их охран</w:t>
      </w:r>
      <w:r w:rsidR="00E6425A">
        <w:rPr>
          <w:sz w:val="28"/>
          <w:szCs w:val="28"/>
        </w:rPr>
        <w:t>яемых законом прав и интересов, С</w:t>
      </w:r>
      <w:r w:rsidRPr="001B06BB">
        <w:rPr>
          <w:sz w:val="28"/>
          <w:szCs w:val="28"/>
        </w:rPr>
        <w:t>тороны будут руководствоваться нормами и положениями действующего законодательства Российской Федерации.</w:t>
      </w:r>
    </w:p>
    <w:p w:rsidR="001B06BB" w:rsidRDefault="001B06BB" w:rsidP="001B06BB">
      <w:pPr>
        <w:jc w:val="center"/>
        <w:rPr>
          <w:sz w:val="28"/>
          <w:szCs w:val="28"/>
        </w:rPr>
      </w:pPr>
    </w:p>
    <w:p w:rsidR="005F50C0" w:rsidRPr="001B06BB" w:rsidRDefault="001B06BB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Статья 6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Настоящее Соглашение вступае</w:t>
      </w:r>
      <w:r w:rsidR="00E6425A">
        <w:rPr>
          <w:sz w:val="28"/>
          <w:szCs w:val="28"/>
        </w:rPr>
        <w:t>т в силу со дня подписания его С</w:t>
      </w:r>
      <w:r w:rsidRPr="001B06BB">
        <w:rPr>
          <w:sz w:val="28"/>
          <w:szCs w:val="28"/>
        </w:rPr>
        <w:t>торонами.</w:t>
      </w:r>
    </w:p>
    <w:p w:rsidR="001B06BB" w:rsidRDefault="001B06BB" w:rsidP="001B06BB">
      <w:pPr>
        <w:jc w:val="center"/>
        <w:rPr>
          <w:sz w:val="28"/>
          <w:szCs w:val="28"/>
        </w:rPr>
      </w:pPr>
    </w:p>
    <w:p w:rsidR="005F50C0" w:rsidRPr="001B06BB" w:rsidRDefault="001B06BB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Статья 7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 xml:space="preserve">Прекращение (окончание) срока действия настоящего Соглашения влечет за </w:t>
      </w:r>
      <w:r w:rsidR="00E6425A">
        <w:rPr>
          <w:sz w:val="28"/>
          <w:szCs w:val="28"/>
        </w:rPr>
        <w:t>собой прекращение обязательств С</w:t>
      </w:r>
      <w:r w:rsidRPr="001B06BB">
        <w:rPr>
          <w:sz w:val="28"/>
          <w:szCs w:val="28"/>
        </w:rPr>
        <w:t>то</w:t>
      </w:r>
      <w:r w:rsidR="00E6425A">
        <w:rPr>
          <w:sz w:val="28"/>
          <w:szCs w:val="28"/>
        </w:rPr>
        <w:t>рон по нему, но не освобождает С</w:t>
      </w:r>
      <w:r w:rsidRPr="001B06BB">
        <w:rPr>
          <w:sz w:val="28"/>
          <w:szCs w:val="28"/>
        </w:rPr>
        <w:t>тороны от ответственности за его нарушения, если таковые имели место при исполнении условий настоящего Соглашения.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lastRenderedPageBreak/>
        <w:t>Реализация иных мероприятий, связанных с предметами, осуществляется на основании отдельных соглашений.</w:t>
      </w:r>
    </w:p>
    <w:p w:rsidR="005F50C0" w:rsidRPr="001B06BB" w:rsidRDefault="001B06BB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Статья 8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Соглашение может пролонгироваться (продлиться) на основании дополнительного соглашения сторон до полной реализации всех условий Соглашения.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1B06BB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Статья 9</w:t>
      </w:r>
    </w:p>
    <w:p w:rsidR="005F50C0" w:rsidRPr="001B06BB" w:rsidRDefault="005F50C0" w:rsidP="001B06BB">
      <w:pPr>
        <w:jc w:val="center"/>
        <w:rPr>
          <w:sz w:val="28"/>
          <w:szCs w:val="28"/>
        </w:rPr>
      </w:pP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 xml:space="preserve">Настоящее Соглашение составлено в двух экземплярах на русском </w:t>
      </w:r>
      <w:r w:rsidR="00E6425A">
        <w:rPr>
          <w:sz w:val="28"/>
          <w:szCs w:val="28"/>
        </w:rPr>
        <w:t>языке, по одному для каждой из С</w:t>
      </w:r>
      <w:r w:rsidRPr="001B06BB">
        <w:rPr>
          <w:sz w:val="28"/>
          <w:szCs w:val="28"/>
        </w:rPr>
        <w:t>торон.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</w:p>
    <w:p w:rsidR="005F50C0" w:rsidRPr="001B06BB" w:rsidRDefault="001B06BB" w:rsidP="001B06BB">
      <w:pPr>
        <w:jc w:val="center"/>
        <w:rPr>
          <w:sz w:val="28"/>
          <w:szCs w:val="28"/>
        </w:rPr>
      </w:pPr>
      <w:r w:rsidRPr="001B06BB">
        <w:rPr>
          <w:sz w:val="28"/>
          <w:szCs w:val="28"/>
        </w:rPr>
        <w:t>Статья 10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</w:p>
    <w:p w:rsidR="005F50C0" w:rsidRPr="001B06BB" w:rsidRDefault="00E6425A" w:rsidP="001B0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адреса С</w:t>
      </w:r>
      <w:r w:rsidR="005F50C0" w:rsidRPr="001B06BB">
        <w:rPr>
          <w:sz w:val="28"/>
          <w:szCs w:val="28"/>
        </w:rPr>
        <w:t>торон:</w:t>
      </w:r>
    </w:p>
    <w:p w:rsidR="005F50C0" w:rsidRPr="001B06BB" w:rsidRDefault="00E6425A" w:rsidP="001B0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Республики Тыва: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 xml:space="preserve">667000, Россия, Республика Тыва, г. Кызыл, ул. </w:t>
      </w:r>
      <w:proofErr w:type="spellStart"/>
      <w:r w:rsidRPr="001B06BB">
        <w:rPr>
          <w:sz w:val="28"/>
          <w:szCs w:val="28"/>
        </w:rPr>
        <w:t>Чульдум</w:t>
      </w:r>
      <w:proofErr w:type="spellEnd"/>
      <w:r w:rsidRPr="001B06BB">
        <w:rPr>
          <w:sz w:val="28"/>
          <w:szCs w:val="28"/>
        </w:rPr>
        <w:t xml:space="preserve">, </w:t>
      </w:r>
      <w:r w:rsidR="001B06BB">
        <w:rPr>
          <w:sz w:val="28"/>
          <w:szCs w:val="28"/>
        </w:rPr>
        <w:t xml:space="preserve">д. </w:t>
      </w:r>
      <w:r w:rsidRPr="001B06BB">
        <w:rPr>
          <w:sz w:val="28"/>
          <w:szCs w:val="28"/>
        </w:rPr>
        <w:t>18</w:t>
      </w:r>
      <w:r w:rsidR="00E6425A">
        <w:rPr>
          <w:sz w:val="28"/>
          <w:szCs w:val="28"/>
        </w:rPr>
        <w:t>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Государственный Эрмитаж: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190000, Санкт-Петербург, Дворцовая набережная, 34</w:t>
      </w:r>
      <w:r w:rsidR="00E6425A">
        <w:rPr>
          <w:sz w:val="28"/>
          <w:szCs w:val="28"/>
        </w:rPr>
        <w:t>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  <w:r w:rsidRPr="001B06BB">
        <w:rPr>
          <w:sz w:val="28"/>
          <w:szCs w:val="28"/>
        </w:rPr>
        <w:t>В</w:t>
      </w:r>
      <w:r w:rsidR="00E6425A">
        <w:rPr>
          <w:sz w:val="28"/>
          <w:szCs w:val="28"/>
        </w:rPr>
        <w:t xml:space="preserve"> подтверждение вышеизложенного С</w:t>
      </w:r>
      <w:r w:rsidRPr="001B06BB">
        <w:rPr>
          <w:sz w:val="28"/>
          <w:szCs w:val="28"/>
        </w:rPr>
        <w:t>тороны подписывают настоящее Соглашение, которое вступает в силу с даты его подписания.</w:t>
      </w:r>
    </w:p>
    <w:p w:rsidR="005F50C0" w:rsidRPr="001B06BB" w:rsidRDefault="005F50C0" w:rsidP="001B06B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5F50C0" w:rsidRPr="00E27D23" w:rsidTr="001B06BB">
        <w:trPr>
          <w:jc w:val="center"/>
        </w:trPr>
        <w:tc>
          <w:tcPr>
            <w:tcW w:w="4666" w:type="dxa"/>
          </w:tcPr>
          <w:p w:rsidR="005F50C0" w:rsidRPr="00E27D23" w:rsidRDefault="005F50C0" w:rsidP="001B06BB">
            <w:pPr>
              <w:jc w:val="center"/>
              <w:outlineLvl w:val="0"/>
              <w:rPr>
                <w:sz w:val="28"/>
                <w:szCs w:val="28"/>
              </w:rPr>
            </w:pPr>
            <w:r w:rsidRPr="00E27D23">
              <w:rPr>
                <w:sz w:val="28"/>
                <w:szCs w:val="28"/>
              </w:rPr>
              <w:t>Правительство Республики Тыва</w:t>
            </w:r>
          </w:p>
          <w:p w:rsidR="005F50C0" w:rsidRPr="00E27D23" w:rsidRDefault="005F50C0" w:rsidP="001B06B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5F50C0" w:rsidRPr="00E27D23" w:rsidRDefault="005F50C0" w:rsidP="001B06BB">
            <w:pPr>
              <w:jc w:val="center"/>
              <w:outlineLvl w:val="0"/>
              <w:rPr>
                <w:sz w:val="28"/>
                <w:szCs w:val="28"/>
              </w:rPr>
            </w:pPr>
            <w:r w:rsidRPr="00E27D23">
              <w:rPr>
                <w:sz w:val="28"/>
                <w:szCs w:val="28"/>
              </w:rPr>
              <w:t>Глава Республики Тыва</w:t>
            </w:r>
          </w:p>
          <w:p w:rsidR="005F50C0" w:rsidRPr="00E27D23" w:rsidRDefault="005F50C0" w:rsidP="001B06B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5F50C0" w:rsidRPr="00E27D23" w:rsidRDefault="005F50C0" w:rsidP="001B06B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5F50C0" w:rsidRPr="00E27D23" w:rsidRDefault="005F50C0" w:rsidP="001B06BB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E27D23">
              <w:rPr>
                <w:sz w:val="28"/>
                <w:szCs w:val="28"/>
              </w:rPr>
              <w:t>Ховалыг</w:t>
            </w:r>
            <w:proofErr w:type="spellEnd"/>
            <w:r w:rsidRPr="00E27D23">
              <w:rPr>
                <w:sz w:val="28"/>
                <w:szCs w:val="28"/>
              </w:rPr>
              <w:t xml:space="preserve"> В.Т. _________________</w:t>
            </w:r>
          </w:p>
        </w:tc>
        <w:tc>
          <w:tcPr>
            <w:tcW w:w="4689" w:type="dxa"/>
          </w:tcPr>
          <w:p w:rsidR="005F50C0" w:rsidRPr="00E27D23" w:rsidRDefault="005F50C0" w:rsidP="001B06BB">
            <w:pPr>
              <w:jc w:val="center"/>
              <w:outlineLvl w:val="0"/>
              <w:rPr>
                <w:sz w:val="28"/>
                <w:szCs w:val="28"/>
              </w:rPr>
            </w:pPr>
            <w:r w:rsidRPr="00E27D23">
              <w:rPr>
                <w:sz w:val="28"/>
                <w:szCs w:val="28"/>
              </w:rPr>
              <w:t>Государственный Эрмитаж</w:t>
            </w:r>
          </w:p>
          <w:p w:rsidR="005F50C0" w:rsidRPr="00E27D23" w:rsidRDefault="005F50C0" w:rsidP="001B06BB">
            <w:pPr>
              <w:jc w:val="center"/>
              <w:rPr>
                <w:sz w:val="28"/>
                <w:szCs w:val="28"/>
              </w:rPr>
            </w:pPr>
          </w:p>
          <w:p w:rsidR="001B06BB" w:rsidRDefault="005F50C0" w:rsidP="001B06BB">
            <w:pPr>
              <w:jc w:val="center"/>
              <w:rPr>
                <w:sz w:val="28"/>
                <w:szCs w:val="28"/>
              </w:rPr>
            </w:pPr>
            <w:r w:rsidRPr="00E27D23">
              <w:rPr>
                <w:sz w:val="28"/>
                <w:szCs w:val="28"/>
              </w:rPr>
              <w:t xml:space="preserve">Генеральный директор </w:t>
            </w:r>
          </w:p>
          <w:p w:rsidR="005F50C0" w:rsidRPr="00E27D23" w:rsidRDefault="005F50C0" w:rsidP="001B06BB">
            <w:pPr>
              <w:jc w:val="center"/>
              <w:rPr>
                <w:sz w:val="28"/>
                <w:szCs w:val="28"/>
              </w:rPr>
            </w:pPr>
            <w:r w:rsidRPr="00E27D23">
              <w:rPr>
                <w:sz w:val="28"/>
                <w:szCs w:val="28"/>
              </w:rPr>
              <w:t>Государственного Эрмитажа</w:t>
            </w:r>
          </w:p>
          <w:p w:rsidR="005F50C0" w:rsidRPr="00E27D23" w:rsidRDefault="005F50C0" w:rsidP="001B06BB">
            <w:pPr>
              <w:jc w:val="center"/>
              <w:rPr>
                <w:sz w:val="28"/>
                <w:szCs w:val="28"/>
              </w:rPr>
            </w:pPr>
          </w:p>
          <w:p w:rsidR="005F50C0" w:rsidRPr="00E27D23" w:rsidRDefault="005F50C0" w:rsidP="001B06BB">
            <w:pPr>
              <w:jc w:val="center"/>
              <w:rPr>
                <w:sz w:val="28"/>
                <w:szCs w:val="28"/>
              </w:rPr>
            </w:pPr>
            <w:r w:rsidRPr="00E27D23">
              <w:rPr>
                <w:sz w:val="28"/>
                <w:szCs w:val="28"/>
              </w:rPr>
              <w:t>Пиотровский М.Б.________________</w:t>
            </w:r>
          </w:p>
        </w:tc>
      </w:tr>
    </w:tbl>
    <w:p w:rsidR="005F50C0" w:rsidRPr="00A97833" w:rsidRDefault="005F50C0" w:rsidP="005F50C0">
      <w:pPr>
        <w:jc w:val="both"/>
        <w:outlineLvl w:val="0"/>
        <w:rPr>
          <w:b/>
          <w:bCs/>
          <w:sz w:val="28"/>
          <w:szCs w:val="28"/>
        </w:rPr>
      </w:pPr>
    </w:p>
    <w:p w:rsidR="005F50C0" w:rsidRDefault="005F50C0">
      <w:pPr>
        <w:rPr>
          <w:sz w:val="28"/>
          <w:szCs w:val="28"/>
        </w:rPr>
      </w:pPr>
    </w:p>
    <w:sectPr w:rsidR="005F50C0" w:rsidSect="001B06BB">
      <w:headerReference w:type="default" r:id="rId12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30" w:rsidRDefault="001C0F30" w:rsidP="001B06BB">
      <w:r>
        <w:separator/>
      </w:r>
    </w:p>
  </w:endnote>
  <w:endnote w:type="continuationSeparator" w:id="0">
    <w:p w:rsidR="001C0F30" w:rsidRDefault="001C0F30" w:rsidP="001B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5A" w:rsidRDefault="00E6425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5A" w:rsidRDefault="00E6425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5A" w:rsidRDefault="00E642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30" w:rsidRDefault="001C0F30" w:rsidP="001B06BB">
      <w:r>
        <w:separator/>
      </w:r>
    </w:p>
  </w:footnote>
  <w:footnote w:type="continuationSeparator" w:id="0">
    <w:p w:rsidR="001C0F30" w:rsidRDefault="001C0F30" w:rsidP="001B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5A" w:rsidRDefault="00E642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2866"/>
    </w:sdtPr>
    <w:sdtEndPr>
      <w:rPr>
        <w:sz w:val="24"/>
      </w:rPr>
    </w:sdtEndPr>
    <w:sdtContent>
      <w:p w:rsidR="001B06BB" w:rsidRPr="001B06BB" w:rsidRDefault="00C73F78">
        <w:pPr>
          <w:pStyle w:val="a8"/>
          <w:jc w:val="right"/>
          <w:rPr>
            <w:sz w:val="24"/>
          </w:rPr>
        </w:pPr>
        <w:r w:rsidRPr="001B06BB">
          <w:rPr>
            <w:sz w:val="24"/>
          </w:rPr>
          <w:fldChar w:fldCharType="begin"/>
        </w:r>
        <w:r w:rsidR="001B06BB" w:rsidRPr="001B06BB">
          <w:rPr>
            <w:sz w:val="24"/>
          </w:rPr>
          <w:instrText xml:space="preserve"> PAGE   \* MERGEFORMAT </w:instrText>
        </w:r>
        <w:r w:rsidRPr="001B06BB">
          <w:rPr>
            <w:sz w:val="24"/>
          </w:rPr>
          <w:fldChar w:fldCharType="separate"/>
        </w:r>
        <w:r w:rsidR="00DB7EE7">
          <w:rPr>
            <w:noProof/>
            <w:sz w:val="24"/>
          </w:rPr>
          <w:t>2</w:t>
        </w:r>
        <w:r w:rsidRPr="001B06BB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25A" w:rsidRDefault="00E6425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2880"/>
    </w:sdtPr>
    <w:sdtEndPr>
      <w:rPr>
        <w:sz w:val="24"/>
      </w:rPr>
    </w:sdtEndPr>
    <w:sdtContent>
      <w:p w:rsidR="001B06BB" w:rsidRPr="001B06BB" w:rsidRDefault="00C73F78">
        <w:pPr>
          <w:pStyle w:val="a8"/>
          <w:jc w:val="center"/>
          <w:rPr>
            <w:sz w:val="24"/>
          </w:rPr>
        </w:pPr>
        <w:r w:rsidRPr="001B06BB">
          <w:rPr>
            <w:sz w:val="24"/>
          </w:rPr>
          <w:fldChar w:fldCharType="begin"/>
        </w:r>
        <w:r w:rsidR="001B06BB" w:rsidRPr="001B06BB">
          <w:rPr>
            <w:sz w:val="24"/>
          </w:rPr>
          <w:instrText xml:space="preserve"> PAGE   \* MERGEFORMAT </w:instrText>
        </w:r>
        <w:r w:rsidRPr="001B06BB">
          <w:rPr>
            <w:sz w:val="24"/>
          </w:rPr>
          <w:fldChar w:fldCharType="separate"/>
        </w:r>
        <w:r w:rsidR="00DB7EE7">
          <w:rPr>
            <w:noProof/>
            <w:sz w:val="24"/>
          </w:rPr>
          <w:t>4</w:t>
        </w:r>
        <w:r w:rsidRPr="001B06BB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a5ba474-249e-4a60-a1e3-c813a8518813"/>
  </w:docVars>
  <w:rsids>
    <w:rsidRoot w:val="005F50C0"/>
    <w:rsid w:val="00050BAD"/>
    <w:rsid w:val="001811DC"/>
    <w:rsid w:val="00185355"/>
    <w:rsid w:val="001B06BB"/>
    <w:rsid w:val="001C0F30"/>
    <w:rsid w:val="00220885"/>
    <w:rsid w:val="0040382F"/>
    <w:rsid w:val="00575169"/>
    <w:rsid w:val="00583B6C"/>
    <w:rsid w:val="005933EA"/>
    <w:rsid w:val="005F50C0"/>
    <w:rsid w:val="006D2883"/>
    <w:rsid w:val="006F339B"/>
    <w:rsid w:val="006F3626"/>
    <w:rsid w:val="007354E6"/>
    <w:rsid w:val="00743EE9"/>
    <w:rsid w:val="008C5199"/>
    <w:rsid w:val="009F5481"/>
    <w:rsid w:val="00A435F9"/>
    <w:rsid w:val="00AB7E53"/>
    <w:rsid w:val="00BF0F26"/>
    <w:rsid w:val="00C73F78"/>
    <w:rsid w:val="00D4775C"/>
    <w:rsid w:val="00D87452"/>
    <w:rsid w:val="00DB7EE7"/>
    <w:rsid w:val="00DF37AC"/>
    <w:rsid w:val="00E6425A"/>
    <w:rsid w:val="00F0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C5CEF6-E6C1-4A92-A4EF-0AEB9CFE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C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0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F50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5F50C0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5F50C0"/>
    <w:pPr>
      <w:keepNext/>
      <w:jc w:val="center"/>
      <w:outlineLvl w:val="2"/>
    </w:pPr>
    <w:rPr>
      <w:b/>
      <w:bCs/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5F50C0"/>
    <w:pPr>
      <w:keepNext/>
      <w:ind w:firstLine="720"/>
      <w:jc w:val="center"/>
      <w:outlineLvl w:val="6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F50C0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F50C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5F50C0"/>
    <w:pPr>
      <w:jc w:val="right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50C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39"/>
    <w:rsid w:val="005F50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43EE9"/>
    <w:rPr>
      <w:color w:val="0000FF"/>
      <w:u w:val="single"/>
    </w:rPr>
  </w:style>
  <w:style w:type="paragraph" w:styleId="a7">
    <w:name w:val="No Spacing"/>
    <w:uiPriority w:val="1"/>
    <w:qFormat/>
    <w:rsid w:val="00743EE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B0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0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06B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4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4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агентство</dc:creator>
  <cp:keywords/>
  <dc:description/>
  <cp:lastModifiedBy>Тас-оол Оксана Всеволодовна</cp:lastModifiedBy>
  <cp:revision>3</cp:revision>
  <cp:lastPrinted>2022-10-27T02:56:00Z</cp:lastPrinted>
  <dcterms:created xsi:type="dcterms:W3CDTF">2022-10-27T02:56:00Z</dcterms:created>
  <dcterms:modified xsi:type="dcterms:W3CDTF">2022-10-27T02:56:00Z</dcterms:modified>
</cp:coreProperties>
</file>