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CF" w:rsidRDefault="007A71CF" w:rsidP="007A71CF">
      <w:pPr>
        <w:suppressAutoHyphens/>
        <w:jc w:val="center"/>
        <w:rPr>
          <w:rFonts w:eastAsia="SimSun" w:cs="font246"/>
          <w:noProof/>
          <w:lang w:eastAsia="ru-RU"/>
        </w:rPr>
      </w:pPr>
    </w:p>
    <w:p w:rsidR="00E03DF3" w:rsidRDefault="00E03DF3" w:rsidP="007A71CF">
      <w:pPr>
        <w:suppressAutoHyphens/>
        <w:jc w:val="center"/>
        <w:rPr>
          <w:rFonts w:eastAsia="SimSun" w:cs="font246"/>
          <w:noProof/>
          <w:lang w:eastAsia="ru-RU"/>
        </w:rPr>
      </w:pPr>
    </w:p>
    <w:p w:rsidR="00E03DF3" w:rsidRPr="007A71CF" w:rsidRDefault="00E03DF3" w:rsidP="007A71CF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7A71CF" w:rsidRPr="007A71CF" w:rsidRDefault="007A71CF" w:rsidP="007A71CF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7A71CF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7A71CF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7A71CF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7A71CF" w:rsidRPr="007A71CF" w:rsidRDefault="007A71CF" w:rsidP="007A71CF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7A71CF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7A71CF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7A71CF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A27F5D" w:rsidRPr="008B402B" w:rsidRDefault="008B402B" w:rsidP="008B402B">
      <w:pPr>
        <w:pStyle w:val="1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8B402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28 июня 2018 г. № 336</w:t>
      </w:r>
    </w:p>
    <w:p w:rsidR="008B402B" w:rsidRPr="008B402B" w:rsidRDefault="008B402B" w:rsidP="008B402B">
      <w:pPr>
        <w:pStyle w:val="1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Pr="008B402B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Кызыл</w:t>
      </w:r>
    </w:p>
    <w:p w:rsidR="00A27F5D" w:rsidRDefault="00A27F5D" w:rsidP="00A27F5D">
      <w:pPr>
        <w:pStyle w:val="11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27F5D" w:rsidRDefault="00A27F5D" w:rsidP="00A27F5D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внесении изменений в государственную программу </w:t>
      </w:r>
    </w:p>
    <w:p w:rsidR="00A27F5D" w:rsidRDefault="00A27F5D" w:rsidP="00A27F5D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Республики Тыва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A27F5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«Противодействие </w:t>
      </w:r>
      <w:proofErr w:type="gramStart"/>
      <w:r w:rsidRPr="00A27F5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незаконному</w:t>
      </w:r>
      <w:proofErr w:type="gramEnd"/>
      <w:r w:rsidRPr="00A27F5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A27F5D" w:rsidRPr="00A27F5D" w:rsidRDefault="00A27F5D" w:rsidP="00A27F5D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Pr="00A27F5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бороту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A27F5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наркотиков в Республике Тыва на 2017-2020 годы»</w:t>
      </w:r>
    </w:p>
    <w:p w:rsidR="00A27F5D" w:rsidRPr="00A27F5D" w:rsidRDefault="00A27F5D" w:rsidP="00A27F5D">
      <w:pPr>
        <w:pStyle w:val="11"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27F5D" w:rsidRPr="00A27F5D" w:rsidRDefault="00A27F5D" w:rsidP="00A27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7F5D">
        <w:rPr>
          <w:rFonts w:ascii="Times New Roman" w:hAnsi="Times New Roman" w:cs="Times New Roman"/>
          <w:sz w:val="28"/>
          <w:szCs w:val="28"/>
        </w:rPr>
        <w:t xml:space="preserve">Правительство Республики </w:t>
      </w:r>
      <w:r w:rsidRPr="00A27F5D">
        <w:rPr>
          <w:rFonts w:ascii="Times New Roman" w:hAnsi="Times New Roman" w:cs="Times New Roman"/>
          <w:sz w:val="28"/>
          <w:szCs w:val="28"/>
          <w:lang w:eastAsia="ru-RU" w:bidi="ru-RU"/>
        </w:rPr>
        <w:t>Тыва ПОСТАНОВЛЯЕТ:</w:t>
      </w:r>
    </w:p>
    <w:p w:rsidR="00A27F5D" w:rsidRPr="00A27F5D" w:rsidRDefault="00A27F5D" w:rsidP="00A27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5D" w:rsidRPr="00A27F5D" w:rsidRDefault="00A27F5D" w:rsidP="00A27F5D">
      <w:pPr>
        <w:pStyle w:val="11"/>
        <w:tabs>
          <w:tab w:val="left" w:pos="1059"/>
        </w:tabs>
        <w:spacing w:before="0"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Внести в государственную программу Республики Тыва «Противоде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ствие незаконному обороту наркотиков в Республике Тыва на 2017-2020 годы», утвержденную постановлением Правительства Республики Тыва от 12 апреля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2017 г. № 161 (далее – Программа), следующие изменения:</w:t>
      </w:r>
    </w:p>
    <w:p w:rsidR="00A27F5D" w:rsidRPr="00A27F5D" w:rsidRDefault="00A27F5D" w:rsidP="00A27F5D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в позиции «Объемы бюджетных ассигнований» паспорта Программы цифры «36818,2» заменить цифрами «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11927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цифры «34341,0» заменить ци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рами «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9449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цифры «19966,3» заменить цифрами «3119,3», цифры «19347,0» заменить цифрами «2500,0», цифры «7004,8» заменить цифрами «2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цифры «6385,5» заменить цифрами «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2217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цифры «6727,8» заменить цифрами «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2851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цифры «6108,5» заменить цифрами «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2232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150F4" w:rsidRPr="00F150F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»;</w:t>
      </w:r>
      <w:proofErr w:type="gramEnd"/>
    </w:p>
    <w:p w:rsidR="00A27F5D" w:rsidRPr="00A27F5D" w:rsidRDefault="00A27F5D" w:rsidP="00A27F5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27F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б) в разделе </w:t>
      </w:r>
      <w:r w:rsidRPr="00A27F5D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I</w:t>
      </w:r>
      <w:r w:rsidRPr="00A27F5D">
        <w:rPr>
          <w:rFonts w:ascii="Times New Roman" w:hAnsi="Times New Roman"/>
          <w:color w:val="000000"/>
          <w:sz w:val="28"/>
          <w:szCs w:val="28"/>
          <w:lang w:eastAsia="ru-RU" w:bidi="ru-RU"/>
        </w:rPr>
        <w:t>V Программы цифры «36818,2» заменить цифрами «</w:t>
      </w:r>
      <w:r w:rsidR="00F150F4" w:rsidRPr="00F150F4">
        <w:rPr>
          <w:rFonts w:ascii="Times New Roman" w:hAnsi="Times New Roman"/>
          <w:color w:val="000000"/>
          <w:sz w:val="28"/>
          <w:szCs w:val="28"/>
          <w:lang w:eastAsia="ru-RU" w:bidi="ru-RU"/>
        </w:rPr>
        <w:t>11927</w:t>
      </w:r>
      <w:r w:rsidR="00F150F4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F150F4" w:rsidRPr="00F150F4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A27F5D">
        <w:rPr>
          <w:rFonts w:ascii="Times New Roman" w:hAnsi="Times New Roman"/>
          <w:color w:val="000000"/>
          <w:sz w:val="28"/>
          <w:szCs w:val="28"/>
          <w:lang w:eastAsia="ru-RU" w:bidi="ru-RU"/>
        </w:rPr>
        <w:t>», цифры «19966,3» заменить цифрами «3119,3», цифры «7004,8» заменить цифрами «</w:t>
      </w:r>
      <w:r w:rsidR="00F150F4" w:rsidRPr="00F150F4">
        <w:rPr>
          <w:rFonts w:ascii="Times New Roman" w:hAnsi="Times New Roman"/>
          <w:color w:val="000000"/>
          <w:sz w:val="28"/>
          <w:szCs w:val="28"/>
          <w:lang w:eastAsia="ru-RU" w:bidi="ru-RU"/>
        </w:rPr>
        <w:t>2837</w:t>
      </w:r>
      <w:r w:rsidRPr="00A27F5D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F150F4" w:rsidRPr="00F150F4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A27F5D">
        <w:rPr>
          <w:rFonts w:ascii="Times New Roman" w:hAnsi="Times New Roman"/>
          <w:color w:val="000000"/>
          <w:sz w:val="28"/>
          <w:szCs w:val="28"/>
          <w:lang w:eastAsia="ru-RU" w:bidi="ru-RU"/>
        </w:rPr>
        <w:t>», ци</w:t>
      </w:r>
      <w:r w:rsidR="00F150F4">
        <w:rPr>
          <w:rFonts w:ascii="Times New Roman" w:hAnsi="Times New Roman"/>
          <w:color w:val="000000"/>
          <w:sz w:val="28"/>
          <w:szCs w:val="28"/>
          <w:lang w:eastAsia="ru-RU" w:bidi="ru-RU"/>
        </w:rPr>
        <w:t>фры «6727,8» заменить цифрами «</w:t>
      </w:r>
      <w:r w:rsidR="00F150F4" w:rsidRPr="00F150F4">
        <w:rPr>
          <w:rFonts w:ascii="Times New Roman" w:hAnsi="Times New Roman"/>
          <w:color w:val="000000"/>
          <w:sz w:val="28"/>
          <w:szCs w:val="28"/>
          <w:lang w:eastAsia="ru-RU" w:bidi="ru-RU"/>
        </w:rPr>
        <w:t>2851</w:t>
      </w:r>
      <w:r w:rsidRPr="00A27F5D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F150F4" w:rsidRPr="00F150F4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Pr="00A27F5D">
        <w:rPr>
          <w:rFonts w:ascii="Times New Roman" w:hAnsi="Times New Roman"/>
          <w:color w:val="000000"/>
          <w:sz w:val="28"/>
          <w:szCs w:val="28"/>
          <w:lang w:eastAsia="ru-RU" w:bidi="ru-RU"/>
        </w:rPr>
        <w:t>»;</w:t>
      </w:r>
    </w:p>
    <w:p w:rsidR="00A27F5D" w:rsidRPr="00A27F5D" w:rsidRDefault="00A27F5D" w:rsidP="00A27F5D">
      <w:pPr>
        <w:pStyle w:val="11"/>
        <w:shd w:val="clear" w:color="auto" w:fill="auto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 в приложении № 2 к Программе: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1.1 слова «; увеличение доли уничтоженных очагов конопли д</w:t>
      </w:r>
      <w:r w:rsidR="00A924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90 процентов от общей площади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зафиксированных очагов ежегодно» исключить;</w:t>
      </w:r>
    </w:p>
    <w:p w:rsid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1.8 цифры «2100,0» заменить цифрами «300,0», цифры «600,0» заменить цифрами «0,0»</w:t>
      </w:r>
      <w:r w:rsidR="00A92473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позиции 1.9 цифры «10837,0» заменить цифрами «4613,9», цифры «3035,0» заменить цифрами «1300,0», цифры «3401,0» заменить цифрами 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«1153,2», цифры «3401,0» заменить цифрами «1160,7»;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1.10 цифры «2740,0» заменить цифрами «0,0», цифры «1370,0» заменить цифрами «0,0», цифры «685,0» заменить цифрами «0,0»;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«Итого по задаче 1»: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столбце «Всего» цифры «15677,0» заменить цифрами «4913,9», </w:t>
      </w:r>
      <w:r w:rsidR="00A924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цифры 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«18154,2» заменить цифрами «7391,1»;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столбце «2018» цифры «5005,0» заменить цифрами «1300,0», цифры «5624,3» заменить цифрами «1919,3»;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столбце «2019» цифры «4686,0» заменить цифрами «1153,2», цифры «5305,3» заменить цифрами «1772,5»;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столбце «2020» цифры «4686,0» заменить цифрами «1160,7», цифры «5305,3» заменить цифрами «1780,0»;</w:t>
      </w:r>
    </w:p>
    <w:p w:rsidR="00F150F4" w:rsidRDefault="00F150F4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позици</w:t>
      </w:r>
      <w:r w:rsidR="00895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="00A27F5D"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3.2 </w:t>
      </w:r>
      <w:r w:rsidR="00895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зложить в следующей редакции: </w:t>
      </w:r>
    </w:p>
    <w:p w:rsid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jc w:val="center"/>
        <w:tblInd w:w="-552" w:type="dxa"/>
        <w:tblLayout w:type="fixed"/>
        <w:tblLook w:val="04A0" w:firstRow="1" w:lastRow="0" w:firstColumn="1" w:lastColumn="0" w:noHBand="0" w:noVBand="1"/>
      </w:tblPr>
      <w:tblGrid>
        <w:gridCol w:w="464"/>
        <w:gridCol w:w="1946"/>
        <w:gridCol w:w="934"/>
        <w:gridCol w:w="1291"/>
        <w:gridCol w:w="1007"/>
        <w:gridCol w:w="850"/>
        <w:gridCol w:w="621"/>
        <w:gridCol w:w="621"/>
        <w:gridCol w:w="621"/>
        <w:gridCol w:w="621"/>
        <w:gridCol w:w="1485"/>
        <w:gridCol w:w="312"/>
      </w:tblGrid>
      <w:tr w:rsidR="00F150F4" w:rsidRPr="00A27F5D" w:rsidTr="00932526">
        <w:trPr>
          <w:trHeight w:val="1890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50F4" w:rsidRPr="00A27F5D" w:rsidRDefault="00F150F4" w:rsidP="00932526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F150F4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Наглядная и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ставочная деятел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ность, направленная на профилактику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висимого поведения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F150F4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F150F4">
            <w:pPr>
              <w:spacing w:after="6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культуры 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 Тыва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Министерство здравоохран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Республ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 Тыва,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нистерство информатиз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 и связи Республики Тыва, Мин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стерство вну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ренних дел по Республике Тыва (по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93252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лика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93252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F150F4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93252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93252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93252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0F4" w:rsidRPr="00A27F5D" w:rsidRDefault="00F150F4" w:rsidP="0093252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выпуска наглядной 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формации по профилактике зависимого поведения и пропаганде здорового обр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жизни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50F4" w:rsidRPr="00A27F5D" w:rsidRDefault="00F150F4" w:rsidP="00932526">
            <w:pPr>
              <w:spacing w:after="60" w:line="240" w:lineRule="auto"/>
              <w:ind w:left="-80" w:right="-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3.8 цифры «150,0» заменить цифрами «0,0», цифры «50,0» зам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нить цифрами «0,0»;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позицию 3.9 изложить в следующей редакции:</w:t>
      </w:r>
    </w:p>
    <w:p w:rsidR="00A27F5D" w:rsidRPr="00A27F5D" w:rsidRDefault="00A27F5D" w:rsidP="00A27F5D">
      <w:pPr>
        <w:pStyle w:val="11"/>
        <w:spacing w:before="0" w:after="60" w:line="240" w:lineRule="auto"/>
        <w:ind w:firstLine="540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tbl>
      <w:tblPr>
        <w:tblW w:w="0" w:type="auto"/>
        <w:jc w:val="center"/>
        <w:tblInd w:w="-552" w:type="dxa"/>
        <w:tblLayout w:type="fixed"/>
        <w:tblLook w:val="04A0" w:firstRow="1" w:lastRow="0" w:firstColumn="1" w:lastColumn="0" w:noHBand="0" w:noVBand="1"/>
      </w:tblPr>
      <w:tblGrid>
        <w:gridCol w:w="464"/>
        <w:gridCol w:w="1946"/>
        <w:gridCol w:w="934"/>
        <w:gridCol w:w="1291"/>
        <w:gridCol w:w="1007"/>
        <w:gridCol w:w="850"/>
        <w:gridCol w:w="621"/>
        <w:gridCol w:w="621"/>
        <w:gridCol w:w="621"/>
        <w:gridCol w:w="621"/>
        <w:gridCol w:w="1485"/>
        <w:gridCol w:w="312"/>
      </w:tblGrid>
      <w:tr w:rsidR="00A27F5D" w:rsidRPr="00A27F5D" w:rsidTr="00A27F5D">
        <w:trPr>
          <w:trHeight w:val="1890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3.9. Раннее выявление потребителей псих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тропных веще</w:t>
            </w:r>
            <w:proofErr w:type="gramStart"/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 ср</w:t>
            </w:r>
            <w:proofErr w:type="gramEnd"/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 несовершенн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летних и работников опасных производств (приобретение тест-системы для опред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ления 10 видов наркотических в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ществ)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2017-2020 гг.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Министерство здравоохран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Республ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лика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2 606,0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качественной и количественной диагностики наркотической зависимости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27F5D" w:rsidRPr="00A27F5D" w:rsidRDefault="00A27F5D">
            <w:pPr>
              <w:spacing w:after="60" w:line="240" w:lineRule="auto"/>
              <w:ind w:left="-80" w:right="-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R="00A27F5D" w:rsidRDefault="00A27F5D" w:rsidP="00A27F5D">
      <w:pPr>
        <w:pStyle w:val="11"/>
        <w:spacing w:before="0" w:after="0" w:line="360" w:lineRule="atLeast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«Итого по задаче 3» цифры «14964,0» заменить цифрами «2646,0», цифры «13542,0» заменить цифрами «700,0», цифры «599,5» заменить цифрами «621,0», цифры «122,5» заменить цифрами «625,0»;</w:t>
      </w:r>
    </w:p>
    <w:p w:rsid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4.2 цифры «300,0» заменить цифрами «0,0», цифры «100,0» з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менить цифрами «0,0»;</w:t>
      </w:r>
    </w:p>
    <w:p w:rsidR="00F150F4" w:rsidRPr="00A27F5D" w:rsidRDefault="00F150F4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«Итого по задаче 4» цифры «300,0» заменить цифрами «0,0», цифры «100,0» заменить цифрами «0,0»</w:t>
      </w:r>
      <w:r w:rsidR="00A92473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5.1 цифры «500,0» заменить цифрами «0,0», цифры «100,0» з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менить цифрами «0,0», цифры </w:t>
      </w:r>
      <w:r w:rsidR="00A92473">
        <w:rPr>
          <w:rFonts w:ascii="Times New Roman" w:hAnsi="Times New Roman" w:cs="Times New Roman"/>
          <w:color w:val="000000"/>
          <w:sz w:val="28"/>
          <w:szCs w:val="28"/>
          <w:lang w:bidi="ru-RU"/>
        </w:rPr>
        <w:t>«200,0» заменить цифрами «0,0»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5.3 цифры «2900,0» заменить цифрами «1890,0», цифры «600,0» заменить цифрами «500,0», цифры «800,0» заменить цифрами «443,6», цифры «1000,0» заменить цифрами «446,4»;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позиции «Итого по задаче 5» цифры «3400,0» заменить цифрами «1890,0», цифры «700,0» заменить цифрами «500,0», цифры «1000,0» заменить цифрами «443,6», цифры «1200,0» заменить цифрами «446,4»;</w:t>
      </w:r>
    </w:p>
    <w:p w:rsidR="00A27F5D" w:rsidRPr="00A27F5D" w:rsidRDefault="00A27F5D" w:rsidP="00A27F5D">
      <w:pPr>
        <w:pStyle w:val="11"/>
        <w:spacing w:before="0" w:after="0" w:line="360" w:lineRule="atLeast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позицию «Всего по Программе» изложить в следующей редакции:</w:t>
      </w:r>
    </w:p>
    <w:p w:rsidR="00A27F5D" w:rsidRPr="00A27F5D" w:rsidRDefault="00A27F5D" w:rsidP="00A27F5D">
      <w:pPr>
        <w:pStyle w:val="11"/>
        <w:spacing w:before="0" w:after="0" w:line="300" w:lineRule="exact"/>
        <w:ind w:firstLine="539"/>
        <w:contextualSpacing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2220"/>
        <w:gridCol w:w="1025"/>
        <w:gridCol w:w="720"/>
        <w:gridCol w:w="720"/>
        <w:gridCol w:w="900"/>
        <w:gridCol w:w="900"/>
        <w:gridCol w:w="900"/>
        <w:gridCol w:w="900"/>
        <w:gridCol w:w="818"/>
        <w:gridCol w:w="503"/>
        <w:gridCol w:w="425"/>
      </w:tblGrid>
      <w:tr w:rsidR="00A27F5D" w:rsidRPr="00A27F5D" w:rsidTr="00A27F5D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7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11 927,1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3 119,3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3 119,3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2 837,1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2 851,4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9 449,9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2 217,8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2 232,1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6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2 477,2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619,3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619,3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619,3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619,3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44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в том числе по распор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я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дителям бюджетных средств: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68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1. Министерство здрав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охранения Республики Тыва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2 646,0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625,0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78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2. Министерство сельск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го хозяйства и прод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вольствия Республики Тыва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4 913,9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1 153,2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1 160,7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72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3. Министерство образ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вания и науки 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ки Тыва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6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4. Министерство по д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е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лам молодежи и спорта Республики Тыва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62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5. Министерство культ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у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ры Республики Тыва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6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6. Министерство труда и социальной политики Республики Тыва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443,6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446,4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5D" w:rsidRPr="00A27F5D" w:rsidTr="00A27F5D">
        <w:trPr>
          <w:trHeight w:val="63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7. Агентство по делам семьи и детей 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ки Тыва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и</w:t>
            </w:r>
            <w:r w:rsidRPr="00A27F5D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F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5D" w:rsidRPr="00A27F5D" w:rsidRDefault="00A27F5D" w:rsidP="00A27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27F5D" w:rsidRPr="00A27F5D" w:rsidRDefault="00A27F5D" w:rsidP="00A27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F5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A27F5D" w:rsidRPr="00A27F5D" w:rsidRDefault="00A27F5D" w:rsidP="00A27F5D">
      <w:pPr>
        <w:pStyle w:val="11"/>
        <w:spacing w:before="0" w:after="0" w:line="300" w:lineRule="exact"/>
        <w:ind w:firstLine="53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F5D" w:rsidRPr="00A27F5D" w:rsidRDefault="00A27F5D" w:rsidP="00A27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A27F5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A27F5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27F5D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27F5D" w:rsidRPr="00A27F5D" w:rsidRDefault="00A27F5D" w:rsidP="00A27F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7F5D" w:rsidRDefault="00A27F5D" w:rsidP="00A27F5D">
      <w:pPr>
        <w:pStyle w:val="11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150F4" w:rsidRPr="00A27F5D" w:rsidRDefault="00F150F4" w:rsidP="00A27F5D">
      <w:pPr>
        <w:pStyle w:val="11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842CA" w:rsidRDefault="00A27F5D" w:rsidP="00A27F5D">
      <w:pPr>
        <w:pStyle w:val="11"/>
        <w:shd w:val="clear" w:color="auto" w:fill="auto"/>
        <w:spacing w:before="0" w:after="300" w:line="322" w:lineRule="exact"/>
      </w:pP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Глава Республики Тыва               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Ш. Кара-</w:t>
      </w:r>
      <w:proofErr w:type="spellStart"/>
      <w:r w:rsidRPr="00A27F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оол</w:t>
      </w:r>
      <w:proofErr w:type="spellEnd"/>
    </w:p>
    <w:sectPr w:rsidR="00F842CA" w:rsidSect="00A27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4C" w:rsidRDefault="009C154C" w:rsidP="00A27F5D">
      <w:pPr>
        <w:spacing w:after="0" w:line="240" w:lineRule="auto"/>
      </w:pPr>
      <w:r>
        <w:separator/>
      </w:r>
    </w:p>
  </w:endnote>
  <w:endnote w:type="continuationSeparator" w:id="0">
    <w:p w:rsidR="009C154C" w:rsidRDefault="009C154C" w:rsidP="00A2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A" w:rsidRDefault="00895A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A" w:rsidRDefault="00895A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A" w:rsidRDefault="00895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4C" w:rsidRDefault="009C154C" w:rsidP="00A27F5D">
      <w:pPr>
        <w:spacing w:after="0" w:line="240" w:lineRule="auto"/>
      </w:pPr>
      <w:r>
        <w:separator/>
      </w:r>
    </w:p>
  </w:footnote>
  <w:footnote w:type="continuationSeparator" w:id="0">
    <w:p w:rsidR="009C154C" w:rsidRDefault="009C154C" w:rsidP="00A2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A" w:rsidRDefault="00895A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201"/>
    </w:sdtPr>
    <w:sdtEndPr>
      <w:rPr>
        <w:rFonts w:ascii="Times New Roman" w:hAnsi="Times New Roman"/>
        <w:sz w:val="24"/>
        <w:szCs w:val="24"/>
      </w:rPr>
    </w:sdtEndPr>
    <w:sdtContent>
      <w:p w:rsidR="00A27F5D" w:rsidRPr="00A27F5D" w:rsidRDefault="00290A75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A27F5D">
          <w:rPr>
            <w:rFonts w:ascii="Times New Roman" w:hAnsi="Times New Roman"/>
            <w:sz w:val="24"/>
            <w:szCs w:val="24"/>
          </w:rPr>
          <w:fldChar w:fldCharType="begin"/>
        </w:r>
        <w:r w:rsidR="00A27F5D" w:rsidRPr="00A27F5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7F5D">
          <w:rPr>
            <w:rFonts w:ascii="Times New Roman" w:hAnsi="Times New Roman"/>
            <w:sz w:val="24"/>
            <w:szCs w:val="24"/>
          </w:rPr>
          <w:fldChar w:fldCharType="separate"/>
        </w:r>
        <w:r w:rsidR="00E03DF3">
          <w:rPr>
            <w:rFonts w:ascii="Times New Roman" w:hAnsi="Times New Roman"/>
            <w:noProof/>
            <w:sz w:val="24"/>
            <w:szCs w:val="24"/>
          </w:rPr>
          <w:t>3</w:t>
        </w:r>
        <w:r w:rsidRPr="00A27F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27F5D" w:rsidRDefault="00A27F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A" w:rsidRDefault="00895A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c9fe7f4-0eeb-4c6a-88c2-c711809dbf05"/>
  </w:docVars>
  <w:rsids>
    <w:rsidRoot w:val="00A27F5D"/>
    <w:rsid w:val="000B0A99"/>
    <w:rsid w:val="00290A75"/>
    <w:rsid w:val="002B013B"/>
    <w:rsid w:val="004F565B"/>
    <w:rsid w:val="007A71CF"/>
    <w:rsid w:val="00895ABA"/>
    <w:rsid w:val="008A0247"/>
    <w:rsid w:val="008B402B"/>
    <w:rsid w:val="009020FB"/>
    <w:rsid w:val="009C154C"/>
    <w:rsid w:val="00A27F5D"/>
    <w:rsid w:val="00A92473"/>
    <w:rsid w:val="00B22C77"/>
    <w:rsid w:val="00E03DF3"/>
    <w:rsid w:val="00F150F4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27F5D"/>
    <w:rPr>
      <w:spacing w:val="2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A27F5D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Theme="minorHAnsi" w:eastAsiaTheme="minorHAnsi" w:hAnsiTheme="minorHAnsi" w:cstheme="minorBidi"/>
      <w:spacing w:val="2"/>
      <w:sz w:val="36"/>
      <w:szCs w:val="36"/>
    </w:rPr>
  </w:style>
  <w:style w:type="character" w:customStyle="1" w:styleId="a3">
    <w:name w:val="Основной текст_"/>
    <w:link w:val="11"/>
    <w:locked/>
    <w:rsid w:val="00A27F5D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A27F5D"/>
    <w:pPr>
      <w:widowControl w:val="0"/>
      <w:shd w:val="clear" w:color="auto" w:fill="FFFFFF"/>
      <w:spacing w:before="180" w:after="420" w:line="0" w:lineRule="atLeast"/>
      <w:jc w:val="both"/>
    </w:pPr>
    <w:rPr>
      <w:rFonts w:asciiTheme="minorHAnsi" w:eastAsiaTheme="minorHAnsi" w:hAnsiTheme="minorHAnsi" w:cstheme="minorBidi"/>
      <w:spacing w:val="5"/>
    </w:rPr>
  </w:style>
  <w:style w:type="paragraph" w:customStyle="1" w:styleId="ConsPlusNormal">
    <w:name w:val="ConsPlusNormal"/>
    <w:rsid w:val="00A27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2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F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2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F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4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4</cp:revision>
  <cp:lastPrinted>2018-07-05T01:34:00Z</cp:lastPrinted>
  <dcterms:created xsi:type="dcterms:W3CDTF">2018-07-04T04:16:00Z</dcterms:created>
  <dcterms:modified xsi:type="dcterms:W3CDTF">2018-07-05T01:34:00Z</dcterms:modified>
</cp:coreProperties>
</file>