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48" w:rsidRDefault="00175848" w:rsidP="0017584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635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848" w:rsidRPr="00175848" w:rsidRDefault="00175848" w:rsidP="0017584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620200099/30727(3)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175848" w:rsidRPr="00175848" w:rsidRDefault="00175848" w:rsidP="0017584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620200099/30727(3)</w:t>
                      </w:r>
                    </w:p>
                  </w:txbxContent>
                </v:textbox>
              </v:rect>
            </w:pict>
          </mc:Fallback>
        </mc:AlternateContent>
      </w:r>
    </w:p>
    <w:p w:rsidR="00175848" w:rsidRDefault="00175848" w:rsidP="0017584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75848" w:rsidRPr="00175848" w:rsidRDefault="00175848" w:rsidP="00175848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175848" w:rsidRPr="00175848" w:rsidRDefault="00175848" w:rsidP="00175848">
      <w:pPr>
        <w:jc w:val="center"/>
        <w:rPr>
          <w:rFonts w:ascii="Times New Roman" w:hAnsi="Times New Roman"/>
          <w:b/>
          <w:sz w:val="36"/>
          <w:szCs w:val="36"/>
        </w:rPr>
      </w:pPr>
      <w:r w:rsidRPr="00175848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175848">
        <w:rPr>
          <w:rFonts w:ascii="Times New Roman" w:hAnsi="Times New Roman"/>
          <w:sz w:val="36"/>
          <w:szCs w:val="36"/>
        </w:rPr>
        <w:br/>
      </w:r>
      <w:r w:rsidRPr="00175848">
        <w:rPr>
          <w:rFonts w:ascii="Times New Roman" w:hAnsi="Times New Roman"/>
          <w:b/>
          <w:sz w:val="36"/>
          <w:szCs w:val="36"/>
        </w:rPr>
        <w:t>РАСПОРЯЖЕНИЕ</w:t>
      </w:r>
    </w:p>
    <w:p w:rsidR="00175848" w:rsidRPr="00175848" w:rsidRDefault="00175848" w:rsidP="00175848">
      <w:pPr>
        <w:jc w:val="center"/>
        <w:rPr>
          <w:rFonts w:ascii="Times New Roman" w:hAnsi="Times New Roman"/>
          <w:sz w:val="36"/>
          <w:szCs w:val="36"/>
        </w:rPr>
      </w:pPr>
      <w:r w:rsidRPr="00175848">
        <w:rPr>
          <w:rFonts w:ascii="Times New Roman" w:hAnsi="Times New Roman"/>
          <w:sz w:val="32"/>
          <w:szCs w:val="32"/>
        </w:rPr>
        <w:t>ТЫВА РЕСПУБЛИКАНЫӉ ЧАЗАА</w:t>
      </w:r>
      <w:r w:rsidRPr="00175848">
        <w:rPr>
          <w:rFonts w:ascii="Times New Roman" w:hAnsi="Times New Roman"/>
          <w:sz w:val="36"/>
          <w:szCs w:val="36"/>
        </w:rPr>
        <w:br/>
      </w:r>
      <w:r w:rsidRPr="00175848">
        <w:rPr>
          <w:rFonts w:ascii="Times New Roman" w:hAnsi="Times New Roman"/>
          <w:b/>
          <w:sz w:val="36"/>
          <w:szCs w:val="36"/>
        </w:rPr>
        <w:t>АЙТЫЫШКЫН</w:t>
      </w:r>
    </w:p>
    <w:p w:rsidR="00557A30" w:rsidRDefault="00557A30" w:rsidP="00557A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E55" w:rsidRDefault="00A6101C" w:rsidP="00A610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апреля 2025 г. № 196-р</w:t>
      </w:r>
    </w:p>
    <w:p w:rsidR="00A6101C" w:rsidRDefault="00A6101C" w:rsidP="00A610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557A30" w:rsidRPr="00557A30" w:rsidRDefault="00557A30" w:rsidP="00557A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A30" w:rsidRDefault="00CA1E55" w:rsidP="00557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A30">
        <w:rPr>
          <w:rFonts w:ascii="Times New Roman" w:hAnsi="Times New Roman"/>
          <w:b/>
          <w:sz w:val="28"/>
          <w:szCs w:val="28"/>
        </w:rPr>
        <w:t>Об утверждении комплексного плана мероприятий</w:t>
      </w:r>
    </w:p>
    <w:p w:rsidR="00557A30" w:rsidRDefault="00CA1E55" w:rsidP="00557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A30">
        <w:rPr>
          <w:rFonts w:ascii="Times New Roman" w:hAnsi="Times New Roman"/>
          <w:b/>
          <w:sz w:val="28"/>
          <w:szCs w:val="28"/>
        </w:rPr>
        <w:t xml:space="preserve"> по профилактике заноса, распространения и </w:t>
      </w:r>
    </w:p>
    <w:p w:rsidR="00557A30" w:rsidRDefault="00CA1E55" w:rsidP="00557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A30">
        <w:rPr>
          <w:rFonts w:ascii="Times New Roman" w:hAnsi="Times New Roman"/>
          <w:b/>
          <w:sz w:val="28"/>
          <w:szCs w:val="28"/>
        </w:rPr>
        <w:t>ликвидации трансграничных болезней животных</w:t>
      </w:r>
      <w:r w:rsidR="00557A30">
        <w:rPr>
          <w:rFonts w:ascii="Times New Roman" w:hAnsi="Times New Roman"/>
          <w:b/>
          <w:sz w:val="28"/>
          <w:szCs w:val="28"/>
        </w:rPr>
        <w:t xml:space="preserve"> </w:t>
      </w:r>
    </w:p>
    <w:p w:rsidR="00557A30" w:rsidRDefault="00CA1E55" w:rsidP="00557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A30">
        <w:rPr>
          <w:rFonts w:ascii="Times New Roman" w:hAnsi="Times New Roman"/>
          <w:b/>
          <w:sz w:val="28"/>
          <w:szCs w:val="28"/>
        </w:rPr>
        <w:t xml:space="preserve">(сибирская язва, чума крупного рогатого скота, </w:t>
      </w:r>
    </w:p>
    <w:p w:rsidR="00557A30" w:rsidRDefault="00CA1E55" w:rsidP="00557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A30">
        <w:rPr>
          <w:rFonts w:ascii="Times New Roman" w:hAnsi="Times New Roman"/>
          <w:b/>
          <w:sz w:val="28"/>
          <w:szCs w:val="28"/>
        </w:rPr>
        <w:t xml:space="preserve">ящур, контагиозная плевропневмония, чума </w:t>
      </w:r>
    </w:p>
    <w:p w:rsidR="00557A30" w:rsidRDefault="00CA1E55" w:rsidP="00557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A30">
        <w:rPr>
          <w:rFonts w:ascii="Times New Roman" w:hAnsi="Times New Roman"/>
          <w:b/>
          <w:sz w:val="28"/>
          <w:szCs w:val="28"/>
        </w:rPr>
        <w:t>мелких жвачных животных, высокопатогенный</w:t>
      </w:r>
    </w:p>
    <w:p w:rsidR="00557A30" w:rsidRDefault="00CA1E55" w:rsidP="00557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A30">
        <w:rPr>
          <w:rFonts w:ascii="Times New Roman" w:hAnsi="Times New Roman"/>
          <w:b/>
          <w:sz w:val="28"/>
          <w:szCs w:val="28"/>
        </w:rPr>
        <w:t xml:space="preserve"> грипп птиц, ньюкасслская болезнь, </w:t>
      </w:r>
    </w:p>
    <w:p w:rsidR="00CA1E55" w:rsidRPr="00557A30" w:rsidRDefault="00CA1E55" w:rsidP="00557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A30">
        <w:rPr>
          <w:rFonts w:ascii="Times New Roman" w:hAnsi="Times New Roman"/>
          <w:b/>
          <w:sz w:val="28"/>
          <w:szCs w:val="28"/>
        </w:rPr>
        <w:t>классическая и африканская чума свиней)</w:t>
      </w:r>
    </w:p>
    <w:p w:rsidR="00AB4FD8" w:rsidRPr="00557A30" w:rsidRDefault="00CA1E55" w:rsidP="00557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A30">
        <w:rPr>
          <w:rFonts w:ascii="Times New Roman" w:hAnsi="Times New Roman"/>
          <w:b/>
          <w:sz w:val="28"/>
          <w:szCs w:val="28"/>
        </w:rPr>
        <w:t>на территории Республики Тыва</w:t>
      </w:r>
    </w:p>
    <w:p w:rsidR="001623D2" w:rsidRDefault="001623D2" w:rsidP="00557A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6960" w:rsidRPr="00557A30" w:rsidRDefault="00066960" w:rsidP="00557A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062" w:rsidRPr="00B4194A" w:rsidRDefault="00CA1E55" w:rsidP="00066960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94A">
        <w:rPr>
          <w:rFonts w:ascii="Times New Roman" w:hAnsi="Times New Roman"/>
          <w:color w:val="000000"/>
          <w:sz w:val="28"/>
          <w:szCs w:val="28"/>
        </w:rPr>
        <w:t xml:space="preserve">В соответствии с Законом Российской Федерации от 14 мая 1993 г. </w:t>
      </w:r>
      <w:r w:rsidR="00066960" w:rsidRPr="00B4194A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B4194A">
        <w:rPr>
          <w:rFonts w:ascii="Times New Roman" w:hAnsi="Times New Roman"/>
          <w:color w:val="000000"/>
          <w:sz w:val="28"/>
          <w:szCs w:val="28"/>
        </w:rPr>
        <w:t xml:space="preserve">№ 4979-1 «О ветеринарии», Законом Республики Тыва от 29 декабря 2004 г. </w:t>
      </w:r>
      <w:r w:rsidR="00066960" w:rsidRPr="00B4194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651E6">
        <w:rPr>
          <w:rFonts w:ascii="Times New Roman" w:hAnsi="Times New Roman"/>
          <w:color w:val="000000"/>
          <w:sz w:val="28"/>
          <w:szCs w:val="28"/>
        </w:rPr>
        <w:t>№ 1095 ВХ-</w:t>
      </w:r>
      <w:r w:rsidR="008651E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4194A">
        <w:rPr>
          <w:rFonts w:ascii="Times New Roman" w:hAnsi="Times New Roman"/>
          <w:color w:val="000000"/>
          <w:sz w:val="28"/>
          <w:szCs w:val="28"/>
        </w:rPr>
        <w:t xml:space="preserve"> «О ветеринарии»</w:t>
      </w:r>
      <w:r w:rsidR="00480343" w:rsidRPr="00B4194A">
        <w:rPr>
          <w:rFonts w:ascii="Times New Roman" w:hAnsi="Times New Roman"/>
          <w:color w:val="000000"/>
          <w:sz w:val="28"/>
          <w:szCs w:val="28"/>
        </w:rPr>
        <w:t>, в целях предупреждения возникновения и ра</w:t>
      </w:r>
      <w:r w:rsidR="00480343" w:rsidRPr="00B4194A">
        <w:rPr>
          <w:rFonts w:ascii="Times New Roman" w:hAnsi="Times New Roman"/>
          <w:color w:val="000000"/>
          <w:sz w:val="28"/>
          <w:szCs w:val="28"/>
        </w:rPr>
        <w:t>с</w:t>
      </w:r>
      <w:r w:rsidR="00480343" w:rsidRPr="00B4194A">
        <w:rPr>
          <w:rFonts w:ascii="Times New Roman" w:hAnsi="Times New Roman"/>
          <w:color w:val="000000"/>
          <w:sz w:val="28"/>
          <w:szCs w:val="28"/>
        </w:rPr>
        <w:t>пространения трансграничных болезней на территории Республики Тыва</w:t>
      </w:r>
      <w:r w:rsidR="00EA3062" w:rsidRPr="00B4194A">
        <w:rPr>
          <w:rFonts w:ascii="Times New Roman" w:hAnsi="Times New Roman"/>
          <w:color w:val="000000"/>
          <w:sz w:val="28"/>
          <w:szCs w:val="28"/>
        </w:rPr>
        <w:t>:</w:t>
      </w:r>
    </w:p>
    <w:p w:rsidR="00480343" w:rsidRPr="00B4194A" w:rsidRDefault="00480343" w:rsidP="00066960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062" w:rsidRDefault="00480343" w:rsidP="00066960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94A">
        <w:rPr>
          <w:rFonts w:ascii="Times New Roman" w:hAnsi="Times New Roman"/>
          <w:color w:val="000000"/>
          <w:sz w:val="28"/>
          <w:szCs w:val="28"/>
        </w:rPr>
        <w:t>1. Утвердить прилагаемый комплексный план мероприятий по профила</w:t>
      </w:r>
      <w:r w:rsidRPr="00B4194A">
        <w:rPr>
          <w:rFonts w:ascii="Times New Roman" w:hAnsi="Times New Roman"/>
          <w:color w:val="000000"/>
          <w:sz w:val="28"/>
          <w:szCs w:val="28"/>
        </w:rPr>
        <w:t>к</w:t>
      </w:r>
      <w:r w:rsidRPr="00B4194A">
        <w:rPr>
          <w:rFonts w:ascii="Times New Roman" w:hAnsi="Times New Roman"/>
          <w:color w:val="000000"/>
          <w:sz w:val="28"/>
          <w:szCs w:val="28"/>
        </w:rPr>
        <w:t>тике заноса, распространения и ликвидации трансграничных болезней живо</w:t>
      </w:r>
      <w:r w:rsidRPr="00B4194A">
        <w:rPr>
          <w:rFonts w:ascii="Times New Roman" w:hAnsi="Times New Roman"/>
          <w:color w:val="000000"/>
          <w:sz w:val="28"/>
          <w:szCs w:val="28"/>
        </w:rPr>
        <w:t>т</w:t>
      </w:r>
      <w:r w:rsidRPr="00B4194A">
        <w:rPr>
          <w:rFonts w:ascii="Times New Roman" w:hAnsi="Times New Roman"/>
          <w:color w:val="000000"/>
          <w:sz w:val="28"/>
          <w:szCs w:val="28"/>
        </w:rPr>
        <w:t>ных (сибирская язва, чума крупного рогатого скота, ящур, контагиозная плевропневмония, чума мелких жвачных животных, высокопатогенный грипп птиц, ньюкасслская болезнь, классическая и африканская чума свиней) на те</w:t>
      </w:r>
      <w:r w:rsidRPr="00B4194A">
        <w:rPr>
          <w:rFonts w:ascii="Times New Roman" w:hAnsi="Times New Roman"/>
          <w:color w:val="000000"/>
          <w:sz w:val="28"/>
          <w:szCs w:val="28"/>
        </w:rPr>
        <w:t>р</w:t>
      </w:r>
      <w:r w:rsidRPr="00B4194A">
        <w:rPr>
          <w:rFonts w:ascii="Times New Roman" w:hAnsi="Times New Roman"/>
          <w:color w:val="000000"/>
          <w:sz w:val="28"/>
          <w:szCs w:val="28"/>
        </w:rPr>
        <w:t>ритории Республики Тыва.</w:t>
      </w:r>
    </w:p>
    <w:p w:rsidR="00677BED" w:rsidRDefault="00677BED" w:rsidP="00066960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5848" w:rsidRDefault="00175848" w:rsidP="00066960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5848" w:rsidRPr="00B4194A" w:rsidRDefault="00175848" w:rsidP="00066960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0343" w:rsidRPr="00B4194A" w:rsidRDefault="00480343" w:rsidP="00066960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94A">
        <w:rPr>
          <w:rFonts w:ascii="Times New Roman" w:hAnsi="Times New Roman"/>
          <w:color w:val="000000"/>
          <w:sz w:val="28"/>
          <w:szCs w:val="28"/>
        </w:rPr>
        <w:lastRenderedPageBreak/>
        <w:t>2. Признать утратившим силу распоряжение Правительства Республики Тыва от 4 апреля 2018 г. № 143-р «Об утверждении комплексного плана мер</w:t>
      </w:r>
      <w:r w:rsidRPr="00B4194A">
        <w:rPr>
          <w:rFonts w:ascii="Times New Roman" w:hAnsi="Times New Roman"/>
          <w:color w:val="000000"/>
          <w:sz w:val="28"/>
          <w:szCs w:val="28"/>
        </w:rPr>
        <w:t>о</w:t>
      </w:r>
      <w:r w:rsidRPr="00B4194A">
        <w:rPr>
          <w:rFonts w:ascii="Times New Roman" w:hAnsi="Times New Roman"/>
          <w:color w:val="000000"/>
          <w:sz w:val="28"/>
          <w:szCs w:val="28"/>
        </w:rPr>
        <w:t>приятий по профилактике заноса, распространения и ликвидации трансграни</w:t>
      </w:r>
      <w:r w:rsidRPr="00B4194A">
        <w:rPr>
          <w:rFonts w:ascii="Times New Roman" w:hAnsi="Times New Roman"/>
          <w:color w:val="000000"/>
          <w:sz w:val="28"/>
          <w:szCs w:val="28"/>
        </w:rPr>
        <w:t>ч</w:t>
      </w:r>
      <w:r w:rsidRPr="00B4194A">
        <w:rPr>
          <w:rFonts w:ascii="Times New Roman" w:hAnsi="Times New Roman"/>
          <w:color w:val="000000"/>
          <w:sz w:val="28"/>
          <w:szCs w:val="28"/>
        </w:rPr>
        <w:t>ных болезней животных (сибирская язва, чума крупного рогатого скота, конт</w:t>
      </w:r>
      <w:r w:rsidRPr="00B4194A">
        <w:rPr>
          <w:rFonts w:ascii="Times New Roman" w:hAnsi="Times New Roman"/>
          <w:color w:val="000000"/>
          <w:sz w:val="28"/>
          <w:szCs w:val="28"/>
        </w:rPr>
        <w:t>а</w:t>
      </w:r>
      <w:r w:rsidRPr="00B4194A">
        <w:rPr>
          <w:rFonts w:ascii="Times New Roman" w:hAnsi="Times New Roman"/>
          <w:color w:val="000000"/>
          <w:sz w:val="28"/>
          <w:szCs w:val="28"/>
        </w:rPr>
        <w:t>гиозная плевропневмония, чума мелких жвачных, грипп птиц, ньюкасслская болезнь) на территории Республики Тыва</w:t>
      </w:r>
      <w:r w:rsidR="00677BED">
        <w:rPr>
          <w:rFonts w:ascii="Times New Roman" w:hAnsi="Times New Roman"/>
          <w:color w:val="000000"/>
          <w:sz w:val="28"/>
          <w:szCs w:val="28"/>
        </w:rPr>
        <w:t>»</w:t>
      </w:r>
      <w:r w:rsidR="008651E6">
        <w:rPr>
          <w:rFonts w:ascii="Times New Roman" w:hAnsi="Times New Roman"/>
          <w:color w:val="000000"/>
          <w:sz w:val="28"/>
          <w:szCs w:val="28"/>
        </w:rPr>
        <w:t>.</w:t>
      </w:r>
    </w:p>
    <w:p w:rsidR="00EA3062" w:rsidRPr="00B4194A" w:rsidRDefault="00480343" w:rsidP="00066960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94A">
        <w:rPr>
          <w:rFonts w:ascii="Times New Roman" w:hAnsi="Times New Roman"/>
          <w:color w:val="000000"/>
          <w:sz w:val="28"/>
          <w:szCs w:val="28"/>
        </w:rPr>
        <w:t>3</w:t>
      </w:r>
      <w:r w:rsidR="00EA3062" w:rsidRPr="00B4194A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B4194A" w:rsidRPr="00B4194A">
        <w:rPr>
          <w:rFonts w:ascii="Times New Roman" w:hAnsi="Times New Roman"/>
          <w:color w:val="000000"/>
          <w:sz w:val="28"/>
          <w:szCs w:val="28"/>
        </w:rPr>
        <w:t>и.о.</w:t>
      </w:r>
      <w:r w:rsidR="00EA3062" w:rsidRPr="00B4194A">
        <w:rPr>
          <w:rFonts w:ascii="Times New Roman" w:hAnsi="Times New Roman"/>
          <w:color w:val="000000"/>
          <w:sz w:val="28"/>
          <w:szCs w:val="28"/>
        </w:rPr>
        <w:t xml:space="preserve"> заместителя Председателя Правительства Республики Тыва Ондар</w:t>
      </w:r>
      <w:r w:rsidRPr="00B4194A">
        <w:rPr>
          <w:rFonts w:ascii="Times New Roman" w:hAnsi="Times New Roman"/>
          <w:color w:val="000000"/>
          <w:sz w:val="28"/>
          <w:szCs w:val="28"/>
        </w:rPr>
        <w:t>а</w:t>
      </w:r>
      <w:r w:rsidR="00EA3062" w:rsidRPr="00B4194A">
        <w:rPr>
          <w:rFonts w:ascii="Times New Roman" w:hAnsi="Times New Roman"/>
          <w:color w:val="000000"/>
          <w:sz w:val="28"/>
          <w:szCs w:val="28"/>
        </w:rPr>
        <w:t xml:space="preserve"> У.А.</w:t>
      </w:r>
    </w:p>
    <w:p w:rsidR="00EA3062" w:rsidRPr="00B4194A" w:rsidRDefault="00480343" w:rsidP="00066960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94A">
        <w:rPr>
          <w:rFonts w:ascii="Times New Roman" w:hAnsi="Times New Roman"/>
          <w:color w:val="000000"/>
          <w:sz w:val="28"/>
          <w:szCs w:val="28"/>
        </w:rPr>
        <w:t>4</w:t>
      </w:r>
      <w:r w:rsidR="00EA3062" w:rsidRPr="00B4194A">
        <w:rPr>
          <w:rFonts w:ascii="Times New Roman" w:hAnsi="Times New Roman"/>
          <w:color w:val="000000"/>
          <w:sz w:val="28"/>
          <w:szCs w:val="28"/>
        </w:rPr>
        <w:t xml:space="preserve">. Разместить настоящее </w:t>
      </w:r>
      <w:r w:rsidR="00B4194A" w:rsidRPr="00B4194A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="00EA3062" w:rsidRPr="00B4194A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B4194A" w:rsidRPr="00B4194A">
        <w:rPr>
          <w:rFonts w:ascii="Times New Roman" w:hAnsi="Times New Roman"/>
          <w:color w:val="000000"/>
          <w:sz w:val="28"/>
          <w:szCs w:val="28"/>
        </w:rPr>
        <w:t>«</w:t>
      </w:r>
      <w:r w:rsidR="00EA3062" w:rsidRPr="00B4194A">
        <w:rPr>
          <w:rFonts w:ascii="Times New Roman" w:hAnsi="Times New Roman"/>
          <w:color w:val="000000"/>
          <w:sz w:val="28"/>
          <w:szCs w:val="28"/>
        </w:rPr>
        <w:t>Официальном интернет-портале правовой информации</w:t>
      </w:r>
      <w:r w:rsidR="00B4194A" w:rsidRPr="00B4194A">
        <w:rPr>
          <w:rFonts w:ascii="Times New Roman" w:hAnsi="Times New Roman"/>
          <w:color w:val="000000"/>
          <w:sz w:val="28"/>
          <w:szCs w:val="28"/>
        </w:rPr>
        <w:t>»</w:t>
      </w:r>
      <w:r w:rsidR="00EA3062" w:rsidRPr="00B4194A">
        <w:rPr>
          <w:rFonts w:ascii="Times New Roman" w:hAnsi="Times New Roman"/>
          <w:color w:val="000000"/>
          <w:sz w:val="28"/>
          <w:szCs w:val="28"/>
        </w:rPr>
        <w:t xml:space="preserve"> (www.pravo.gov.ru) и официальном сайте Ре</w:t>
      </w:r>
      <w:r w:rsidR="00EA3062" w:rsidRPr="00B4194A">
        <w:rPr>
          <w:rFonts w:ascii="Times New Roman" w:hAnsi="Times New Roman"/>
          <w:color w:val="000000"/>
          <w:sz w:val="28"/>
          <w:szCs w:val="28"/>
        </w:rPr>
        <w:t>с</w:t>
      </w:r>
      <w:r w:rsidR="00EA3062" w:rsidRPr="00B4194A">
        <w:rPr>
          <w:rFonts w:ascii="Times New Roman" w:hAnsi="Times New Roman"/>
          <w:color w:val="000000"/>
          <w:sz w:val="28"/>
          <w:szCs w:val="28"/>
        </w:rPr>
        <w:t>публики Тыва в и</w:t>
      </w:r>
      <w:r w:rsidR="00EA3062" w:rsidRPr="00B4194A">
        <w:rPr>
          <w:rFonts w:ascii="Times New Roman" w:hAnsi="Times New Roman"/>
          <w:color w:val="000000"/>
          <w:sz w:val="28"/>
          <w:szCs w:val="28"/>
        </w:rPr>
        <w:t>н</w:t>
      </w:r>
      <w:r w:rsidR="00EA3062" w:rsidRPr="00B4194A">
        <w:rPr>
          <w:rFonts w:ascii="Times New Roman" w:hAnsi="Times New Roman"/>
          <w:color w:val="000000"/>
          <w:sz w:val="28"/>
          <w:szCs w:val="28"/>
        </w:rPr>
        <w:t xml:space="preserve">формационно-телекоммуникационной сети </w:t>
      </w:r>
      <w:r w:rsidR="00B4194A" w:rsidRPr="00B4194A">
        <w:rPr>
          <w:rFonts w:ascii="Times New Roman" w:hAnsi="Times New Roman"/>
          <w:color w:val="000000"/>
          <w:sz w:val="28"/>
          <w:szCs w:val="28"/>
        </w:rPr>
        <w:t>«</w:t>
      </w:r>
      <w:r w:rsidR="00EA3062" w:rsidRPr="00B4194A">
        <w:rPr>
          <w:rFonts w:ascii="Times New Roman" w:hAnsi="Times New Roman"/>
          <w:color w:val="000000"/>
          <w:sz w:val="28"/>
          <w:szCs w:val="28"/>
        </w:rPr>
        <w:t>Интернет</w:t>
      </w:r>
      <w:r w:rsidR="00B4194A" w:rsidRPr="00B4194A">
        <w:rPr>
          <w:rFonts w:ascii="Times New Roman" w:hAnsi="Times New Roman"/>
          <w:color w:val="000000"/>
          <w:sz w:val="28"/>
          <w:szCs w:val="28"/>
        </w:rPr>
        <w:t>»</w:t>
      </w:r>
      <w:r w:rsidR="00EA3062" w:rsidRPr="00B4194A">
        <w:rPr>
          <w:rFonts w:ascii="Times New Roman" w:hAnsi="Times New Roman"/>
          <w:color w:val="000000"/>
          <w:sz w:val="28"/>
          <w:szCs w:val="28"/>
        </w:rPr>
        <w:t>.</w:t>
      </w:r>
    </w:p>
    <w:p w:rsidR="00EA3062" w:rsidRPr="00B4194A" w:rsidRDefault="00EA3062" w:rsidP="00B4194A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C4113F" w:rsidRPr="00B4194A" w:rsidRDefault="00C4113F" w:rsidP="00B4194A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A64F0F" w:rsidRPr="00B4194A" w:rsidRDefault="00A64F0F" w:rsidP="00B4194A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EA3062" w:rsidRPr="00B4194A" w:rsidRDefault="00DA7853" w:rsidP="00B4194A">
      <w:pPr>
        <w:spacing w:after="0" w:line="36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4194A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566D59" w:rsidRPr="00B4194A">
        <w:rPr>
          <w:rFonts w:ascii="Times New Roman" w:hAnsi="Times New Roman"/>
          <w:color w:val="000000"/>
          <w:sz w:val="28"/>
          <w:szCs w:val="28"/>
        </w:rPr>
        <w:t xml:space="preserve">Республики Тыва </w:t>
      </w:r>
      <w:r w:rsidR="00566D59" w:rsidRPr="00B4194A">
        <w:rPr>
          <w:rFonts w:ascii="Times New Roman" w:hAnsi="Times New Roman"/>
          <w:color w:val="000000"/>
          <w:sz w:val="28"/>
          <w:szCs w:val="28"/>
        </w:rPr>
        <w:tab/>
      </w:r>
      <w:r w:rsidR="00566D59" w:rsidRPr="00B4194A">
        <w:rPr>
          <w:rFonts w:ascii="Times New Roman" w:hAnsi="Times New Roman"/>
          <w:color w:val="000000"/>
          <w:sz w:val="28"/>
          <w:szCs w:val="28"/>
        </w:rPr>
        <w:tab/>
      </w:r>
      <w:r w:rsidR="00566D59" w:rsidRPr="00B4194A">
        <w:rPr>
          <w:rFonts w:ascii="Times New Roman" w:hAnsi="Times New Roman"/>
          <w:color w:val="000000"/>
          <w:sz w:val="28"/>
          <w:szCs w:val="28"/>
        </w:rPr>
        <w:tab/>
      </w:r>
      <w:r w:rsidR="00566D59" w:rsidRPr="00B4194A">
        <w:rPr>
          <w:rFonts w:ascii="Times New Roman" w:hAnsi="Times New Roman"/>
          <w:color w:val="000000"/>
          <w:sz w:val="28"/>
          <w:szCs w:val="28"/>
        </w:rPr>
        <w:tab/>
      </w:r>
      <w:r w:rsidR="00566D59" w:rsidRPr="00B4194A">
        <w:rPr>
          <w:rFonts w:ascii="Times New Roman" w:hAnsi="Times New Roman"/>
          <w:color w:val="000000"/>
          <w:sz w:val="28"/>
          <w:szCs w:val="28"/>
        </w:rPr>
        <w:tab/>
      </w:r>
      <w:r w:rsidR="0076717B" w:rsidRPr="00B4194A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B4194A" w:rsidRPr="00B4194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6717B" w:rsidRPr="00B419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312E" w:rsidRPr="00B4194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4194A">
        <w:rPr>
          <w:rFonts w:ascii="Times New Roman" w:hAnsi="Times New Roman"/>
          <w:color w:val="000000"/>
          <w:sz w:val="28"/>
          <w:szCs w:val="28"/>
        </w:rPr>
        <w:t>В. Хов</w:t>
      </w:r>
      <w:r w:rsidRPr="00B4194A">
        <w:rPr>
          <w:rFonts w:ascii="Times New Roman" w:hAnsi="Times New Roman"/>
          <w:color w:val="000000"/>
          <w:sz w:val="28"/>
          <w:szCs w:val="28"/>
        </w:rPr>
        <w:t>а</w:t>
      </w:r>
      <w:r w:rsidRPr="00B4194A">
        <w:rPr>
          <w:rFonts w:ascii="Times New Roman" w:hAnsi="Times New Roman"/>
          <w:color w:val="000000"/>
          <w:sz w:val="28"/>
          <w:szCs w:val="28"/>
        </w:rPr>
        <w:t>лыг</w:t>
      </w:r>
    </w:p>
    <w:p w:rsidR="00EA3062" w:rsidRPr="00B4194A" w:rsidRDefault="00EA3062" w:rsidP="00B4194A">
      <w:pPr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651E6" w:rsidRDefault="008651E6" w:rsidP="00066960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8651E6" w:rsidSect="00B4194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651E6" w:rsidRPr="008651E6" w:rsidRDefault="008651E6" w:rsidP="008651E6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8651E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651E6" w:rsidRPr="008651E6" w:rsidRDefault="008651E6" w:rsidP="008651E6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651E6">
        <w:rPr>
          <w:rFonts w:ascii="Times New Roman" w:hAnsi="Times New Roman"/>
          <w:sz w:val="28"/>
          <w:szCs w:val="28"/>
        </w:rPr>
        <w:t>аспоряжением Правительства</w:t>
      </w:r>
    </w:p>
    <w:p w:rsidR="008651E6" w:rsidRPr="008651E6" w:rsidRDefault="008651E6" w:rsidP="008651E6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8651E6">
        <w:rPr>
          <w:rFonts w:ascii="Times New Roman" w:hAnsi="Times New Roman"/>
          <w:sz w:val="28"/>
          <w:szCs w:val="28"/>
        </w:rPr>
        <w:t>Республики Тыва</w:t>
      </w:r>
    </w:p>
    <w:p w:rsidR="00A6101C" w:rsidRDefault="00A6101C" w:rsidP="00A6101C">
      <w:pPr>
        <w:spacing w:after="0" w:line="360" w:lineRule="auto"/>
        <w:ind w:left="1062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10 апреля 2025 г. № 196-р</w:t>
      </w:r>
    </w:p>
    <w:p w:rsidR="008651E6" w:rsidRDefault="008651E6" w:rsidP="00865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1E6" w:rsidRPr="008651E6" w:rsidRDefault="008651E6" w:rsidP="00865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1E6" w:rsidRPr="008651E6" w:rsidRDefault="008651E6" w:rsidP="00865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1E6"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8651E6" w:rsidRDefault="008651E6" w:rsidP="00865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1E6">
        <w:rPr>
          <w:rFonts w:ascii="Times New Roman" w:hAnsi="Times New Roman"/>
          <w:sz w:val="28"/>
          <w:szCs w:val="28"/>
        </w:rPr>
        <w:t>мероприятий по профилактике заноса, распространения и ликвидации</w:t>
      </w:r>
    </w:p>
    <w:p w:rsidR="008651E6" w:rsidRDefault="008651E6" w:rsidP="00865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1E6">
        <w:rPr>
          <w:rFonts w:ascii="Times New Roman" w:hAnsi="Times New Roman"/>
          <w:sz w:val="28"/>
          <w:szCs w:val="28"/>
        </w:rPr>
        <w:t xml:space="preserve"> трансграничных болезней животных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1E6">
        <w:rPr>
          <w:rFonts w:ascii="Times New Roman" w:hAnsi="Times New Roman"/>
          <w:sz w:val="28"/>
          <w:szCs w:val="28"/>
        </w:rPr>
        <w:t xml:space="preserve">(сибирская язва, чума крупного рогатого </w:t>
      </w:r>
    </w:p>
    <w:p w:rsidR="008651E6" w:rsidRDefault="008651E6" w:rsidP="00865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1E6">
        <w:rPr>
          <w:rFonts w:ascii="Times New Roman" w:hAnsi="Times New Roman"/>
          <w:sz w:val="28"/>
          <w:szCs w:val="28"/>
        </w:rPr>
        <w:t xml:space="preserve">скота, ящур, контагиозная плевропневмония, чума мелких жвачных животных, </w:t>
      </w:r>
    </w:p>
    <w:p w:rsidR="008651E6" w:rsidRDefault="008651E6" w:rsidP="00865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1E6">
        <w:rPr>
          <w:rFonts w:ascii="Times New Roman" w:hAnsi="Times New Roman"/>
          <w:sz w:val="28"/>
          <w:szCs w:val="28"/>
        </w:rPr>
        <w:t>высок</w:t>
      </w:r>
      <w:r w:rsidRPr="008651E6">
        <w:rPr>
          <w:rFonts w:ascii="Times New Roman" w:hAnsi="Times New Roman"/>
          <w:sz w:val="28"/>
          <w:szCs w:val="28"/>
        </w:rPr>
        <w:t>о</w:t>
      </w:r>
      <w:r w:rsidRPr="008651E6">
        <w:rPr>
          <w:rFonts w:ascii="Times New Roman" w:hAnsi="Times New Roman"/>
          <w:sz w:val="28"/>
          <w:szCs w:val="28"/>
        </w:rPr>
        <w:t xml:space="preserve">патогенный грипп птиц, ньюкасслская болезнь, классическая и </w:t>
      </w:r>
    </w:p>
    <w:p w:rsidR="008651E6" w:rsidRPr="008651E6" w:rsidRDefault="008651E6" w:rsidP="00865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1E6">
        <w:rPr>
          <w:rFonts w:ascii="Times New Roman" w:hAnsi="Times New Roman"/>
          <w:sz w:val="28"/>
          <w:szCs w:val="28"/>
        </w:rPr>
        <w:t>африканская чума свиней)</w:t>
      </w:r>
      <w:r w:rsidR="00B57ED7">
        <w:rPr>
          <w:rFonts w:ascii="Times New Roman" w:hAnsi="Times New Roman"/>
          <w:sz w:val="28"/>
          <w:szCs w:val="28"/>
        </w:rPr>
        <w:t xml:space="preserve"> </w:t>
      </w:r>
      <w:r w:rsidRPr="008651E6">
        <w:rPr>
          <w:rFonts w:ascii="Times New Roman" w:hAnsi="Times New Roman"/>
          <w:sz w:val="28"/>
          <w:szCs w:val="28"/>
        </w:rPr>
        <w:t>на территории Республики Тыва</w:t>
      </w:r>
    </w:p>
    <w:p w:rsidR="008651E6" w:rsidRPr="008651E6" w:rsidRDefault="008651E6" w:rsidP="00865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78"/>
        <w:gridCol w:w="1855"/>
        <w:gridCol w:w="7200"/>
      </w:tblGrid>
      <w:tr w:rsidR="008651E6" w:rsidRPr="001E2C84" w:rsidTr="001E2C84">
        <w:trPr>
          <w:tblHeader/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5" w:type="dxa"/>
            <w:shd w:val="clear" w:color="auto" w:fill="auto"/>
          </w:tcPr>
          <w:p w:rsidR="00B57ED7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8651E6" w:rsidRPr="001E2C84" w:rsidTr="001E2C84">
        <w:trPr>
          <w:jc w:val="center"/>
        </w:trPr>
        <w:tc>
          <w:tcPr>
            <w:tcW w:w="15933" w:type="dxa"/>
            <w:gridSpan w:val="3"/>
            <w:shd w:val="clear" w:color="auto" w:fill="auto"/>
          </w:tcPr>
          <w:p w:rsidR="008651E6" w:rsidRPr="001E2C84" w:rsidRDefault="008651E6" w:rsidP="001E2C84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Общие организационные мероприятия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1E2C84">
            <w:pPr>
              <w:pStyle w:val="ac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Принятие мер по недопущению несанкционированного пер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гона и передвижения сельскохозяйстве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ных животных</w:t>
            </w:r>
          </w:p>
        </w:tc>
        <w:tc>
          <w:tcPr>
            <w:tcW w:w="1855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B57ED7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дминистрации муниципальных образований</w:t>
            </w:r>
            <w:r w:rsidR="00741888" w:rsidRPr="001E2C8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, Управление Россел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ь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хознадзора по Республикам Хакасия и Тыва (по согласованию), Пограничное управление Федеральной службы бе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з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опасности России по Республике Тыва (по согласов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1E2C84">
            <w:pPr>
              <w:pStyle w:val="ac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Усиление контроля за пастьбой сельскохозяйственных ж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вотных вдоль карантинной полосы, недопущение перепаса и п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рехода животных через гос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у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дарственную границу</w:t>
            </w:r>
          </w:p>
        </w:tc>
        <w:tc>
          <w:tcPr>
            <w:tcW w:w="1855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741888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дминистрации муниципальных образований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, Управление Россел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ь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хознадзора по Республикам Хакасия и Тыва (по согласованию), Пограничное управление Федеральной службы бе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з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опасности Ро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с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сии по Республике Тыва (по согласованию), Служба ветеринарии Респу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б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677BED">
            <w:pPr>
              <w:pStyle w:val="ac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Маркирование и учет сельскохозяйственных ж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вотных всех форм собственности </w:t>
            </w:r>
            <w:r w:rsidR="00677BE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приграничных рай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</w:t>
            </w:r>
            <w:r w:rsidR="00677BED">
              <w:rPr>
                <w:rFonts w:ascii="Times New Roman" w:hAnsi="Times New Roman"/>
                <w:sz w:val="24"/>
                <w:szCs w:val="24"/>
              </w:rPr>
              <w:t>ах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</w:tc>
        <w:tc>
          <w:tcPr>
            <w:tcW w:w="1855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741888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дминистрации муниципальных образований приграничных рай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о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нов республики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, Служба ветеринарии Республики Тыва, Министерство сельского хозяйства и продовольствия Респу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б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 xml:space="preserve">лики Тыва </w:t>
            </w:r>
          </w:p>
        </w:tc>
      </w:tr>
    </w:tbl>
    <w:p w:rsidR="00EA29E4" w:rsidRDefault="00EA29E4"/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78"/>
        <w:gridCol w:w="1855"/>
        <w:gridCol w:w="7200"/>
      </w:tblGrid>
      <w:tr w:rsidR="00EA29E4" w:rsidRPr="001E2C84" w:rsidTr="001E2C84">
        <w:trPr>
          <w:tblHeader/>
          <w:jc w:val="center"/>
        </w:trPr>
        <w:tc>
          <w:tcPr>
            <w:tcW w:w="6878" w:type="dxa"/>
            <w:shd w:val="clear" w:color="auto" w:fill="auto"/>
          </w:tcPr>
          <w:p w:rsidR="00EA29E4" w:rsidRPr="001E2C84" w:rsidRDefault="00EA29E4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5" w:type="dxa"/>
            <w:shd w:val="clear" w:color="auto" w:fill="auto"/>
          </w:tcPr>
          <w:p w:rsidR="00EA29E4" w:rsidRPr="001E2C84" w:rsidRDefault="00EA29E4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EA29E4" w:rsidRPr="001E2C84" w:rsidRDefault="00EA29E4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200" w:type="dxa"/>
            <w:shd w:val="clear" w:color="auto" w:fill="auto"/>
          </w:tcPr>
          <w:p w:rsidR="00EA29E4" w:rsidRPr="001E2C84" w:rsidRDefault="00EA29E4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1E2C84">
            <w:pPr>
              <w:pStyle w:val="ac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 xml:space="preserve">Проведение широкой </w:t>
            </w:r>
            <w:r w:rsidR="00677BED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разъяснительной раб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ты по вопросам профилактики трансграничных болезней живо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т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1855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741888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дминистрации муниципальных образований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, Управление Россел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ь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хознадзора по Республикам Хакасия и Тыва (по согласованию), Пограничное управление Федеральной службы бе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з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опасности Ро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с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сии по Республике Тыва (по согласованию), Служба ветеринарии Республики Тыва, Министерство здравоохранения Ре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с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публики Тыва, Управление Роспотребнадзора по Республике Тыва (по согласов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1E2C84">
            <w:pPr>
              <w:pStyle w:val="ac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Проведение заседаний противоэпизоотич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ской комиссии по вопросам проведения мероприятий по предупреждению тран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с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граничных болезней, а также по вопросу материально-технического оснащения ветер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нарной службы</w:t>
            </w:r>
          </w:p>
        </w:tc>
        <w:tc>
          <w:tcPr>
            <w:tcW w:w="1855" w:type="dxa"/>
            <w:shd w:val="clear" w:color="auto" w:fill="auto"/>
          </w:tcPr>
          <w:p w:rsidR="00CB1588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 xml:space="preserve">один раз в </w:t>
            </w:r>
          </w:p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у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годие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8651E6" w:rsidP="00C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чрезвычайн</w:t>
            </w:r>
            <w:r w:rsidR="00677BE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противоэпизоотическ</w:t>
            </w:r>
            <w:r w:rsidR="00677BE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с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си</w:t>
            </w:r>
            <w:r w:rsidR="00677BED">
              <w:rPr>
                <w:rFonts w:ascii="Times New Roman" w:hAnsi="Times New Roman"/>
                <w:sz w:val="24"/>
                <w:szCs w:val="24"/>
              </w:rPr>
              <w:t>я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при Правительстве Республики Тыва </w:t>
            </w:r>
            <w:r w:rsidR="00CB1588">
              <w:rPr>
                <w:rFonts w:ascii="Times New Roman" w:hAnsi="Times New Roman"/>
                <w:sz w:val="24"/>
                <w:szCs w:val="24"/>
              </w:rPr>
              <w:t>(создана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 w:rsidR="00CB1588">
              <w:rPr>
                <w:rFonts w:ascii="Times New Roman" w:hAnsi="Times New Roman"/>
                <w:sz w:val="24"/>
                <w:szCs w:val="24"/>
              </w:rPr>
              <w:t>ем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Правительства Респу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б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лики Тыва от 4 июля 2023 г</w:t>
            </w:r>
            <w:r w:rsidR="00741888" w:rsidRPr="001E2C84">
              <w:rPr>
                <w:rFonts w:ascii="Times New Roman" w:hAnsi="Times New Roman"/>
                <w:sz w:val="24"/>
                <w:szCs w:val="24"/>
              </w:rPr>
              <w:t>.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41888" w:rsidRPr="001E2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469</w:t>
            </w:r>
            <w:r w:rsidR="00CB15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651E6" w:rsidRPr="001E2C84" w:rsidTr="001E2C84">
        <w:trPr>
          <w:jc w:val="center"/>
        </w:trPr>
        <w:tc>
          <w:tcPr>
            <w:tcW w:w="15933" w:type="dxa"/>
            <w:gridSpan w:val="3"/>
            <w:shd w:val="clear" w:color="auto" w:fill="auto"/>
          </w:tcPr>
          <w:p w:rsidR="008651E6" w:rsidRPr="001E2C84" w:rsidRDefault="008651E6" w:rsidP="001E2C84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Меры, направленные на предотвращение возникновения трансграничных болезней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1E2C84">
            <w:pPr>
              <w:pStyle w:val="ac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Обеспечение контроля за соблюдением ветер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нарно-санитарных правил содержания, кормления ж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вотных</w:t>
            </w:r>
          </w:p>
        </w:tc>
        <w:tc>
          <w:tcPr>
            <w:tcW w:w="1855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Управление Россельхознадзора по Республ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кам Хакасия и Тыва (по согласованию)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1E2C84">
            <w:pPr>
              <w:pStyle w:val="ac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Усиление контроля за транспортировкой и реализацией ж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вотных и продукции животных и проду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к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ции животноводства</w:t>
            </w:r>
          </w:p>
        </w:tc>
        <w:tc>
          <w:tcPr>
            <w:tcW w:w="1855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Управление Россельхознадзора по Республ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кам Хакасия и Тыва (по согласованию)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1E2C84">
            <w:pPr>
              <w:pStyle w:val="ac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Создание запаса спецодежды, в том числе противочу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м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ных комплектов, средств индивидуальной защиты, дезинфиц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рующих средств</w:t>
            </w:r>
          </w:p>
        </w:tc>
        <w:tc>
          <w:tcPr>
            <w:tcW w:w="1855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Служба ветеринарии Республики Тыва, Министерство здравоохр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нения Республики Тыва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1E2C84">
            <w:pPr>
              <w:pStyle w:val="ac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Проведение внутреннего мониторинга по определению 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м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мунного статуса на ящур</w:t>
            </w:r>
          </w:p>
        </w:tc>
        <w:tc>
          <w:tcPr>
            <w:tcW w:w="1855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Служба ветеринарии Республики Тыва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2.5. Проведение дератизации в населенных пунктах приграни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ч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ных районов республики </w:t>
            </w:r>
          </w:p>
        </w:tc>
        <w:tc>
          <w:tcPr>
            <w:tcW w:w="1855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8651E6" w:rsidRPr="001E2C84" w:rsidRDefault="00741888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дминистрации муниципальных образований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, ФКУЗ «Тувинская противочумная станция»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2.6. Организация совместных выездов на чабанские стоянки с ц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лью проведения санитарно-просветительских мероприятий</w:t>
            </w:r>
          </w:p>
        </w:tc>
        <w:tc>
          <w:tcPr>
            <w:tcW w:w="1855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в период окотной кампании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741888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дминистрации муниципальных образований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, Управление Россел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ь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хознадзора по Республикам Хакасия и Тыва (по согласованию), Пограничное управление Федеральной службы бе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з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опасности Ро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с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сии по Республике Тыва (по согласованию), Служба ветеринарии Республики Тыва, Министерство здравоохранения Ре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с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lastRenderedPageBreak/>
              <w:t>публики Тыва, Управление Роспотребнадзора по Республике Тыва (по согласованию), Министерство сельского хозяйства и продовол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ь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ствия Респу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б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lastRenderedPageBreak/>
              <w:t>2.7. Проведение иммунизации граждан группы риска против ч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у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мы, сибирской язвы</w:t>
            </w:r>
          </w:p>
        </w:tc>
        <w:tc>
          <w:tcPr>
            <w:tcW w:w="1855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2.8. Обеспечение своевременного обмена информацией при пол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у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чении сведений об угрозах возникновения очагов трансграни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ч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ных болезней</w:t>
            </w:r>
          </w:p>
        </w:tc>
        <w:tc>
          <w:tcPr>
            <w:tcW w:w="1855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8651E6" w:rsidRPr="001E2C84" w:rsidRDefault="008D4F1B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дминистрации муниципальных образований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, Управление Россел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ь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хознадзора по Республикам Хакасия и Тыва (по согласованию), Пограничное управление Федеральной службы бе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з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опасности Ро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с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сии по Республике Тыва (по согласованию), Служба ветеринарии Республики Тыва, Министерство здравоохранения Ре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с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публики Тыва, Управление Роспотребнадзора по Республике Тыва (по согласованию), Министерство сельского хозяйства и продовол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ь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ствия Республики Тыва, МВД по Республике Тыва (по согласов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нию), Слу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ж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ба по гражданской обороне и чрезвычайным ситуациям Республики Тыва, Государственный комитет по охране объектов животного мира Ре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с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</w:tr>
      <w:tr w:rsidR="008651E6" w:rsidRPr="001E2C84" w:rsidTr="001E2C84">
        <w:trPr>
          <w:jc w:val="center"/>
        </w:trPr>
        <w:tc>
          <w:tcPr>
            <w:tcW w:w="15933" w:type="dxa"/>
            <w:gridSpan w:val="3"/>
            <w:shd w:val="clear" w:color="auto" w:fill="auto"/>
          </w:tcPr>
          <w:p w:rsidR="008D4F1B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 xml:space="preserve">3. Меры, направленные на ликвидацию и предотвращение распространения </w:t>
            </w:r>
          </w:p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очагов трансграничных болезней в период во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з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никновения эпизоотии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3.1. Проведение работы по определению границ неблагополу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ч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ной и угрожаемой зон, по введению карантина в очагах инфе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к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55" w:type="dxa"/>
            <w:shd w:val="clear" w:color="auto" w:fill="auto"/>
          </w:tcPr>
          <w:p w:rsidR="008651E6" w:rsidRPr="001E2C84" w:rsidRDefault="008D4F1B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незамедлительно при подтвержд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нии диагноза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Служба ветеринарии Республики Тыва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977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 xml:space="preserve">3.2. Инициирование внеочередного заседания </w:t>
            </w:r>
            <w:r w:rsidR="00977CD4">
              <w:rPr>
                <w:rFonts w:ascii="Times New Roman" w:hAnsi="Times New Roman"/>
                <w:sz w:val="24"/>
                <w:szCs w:val="24"/>
              </w:rPr>
              <w:t>ч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резвычайной пр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тивоэпизоотической комиссии при Правительстве Республ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  <w:tc>
          <w:tcPr>
            <w:tcW w:w="1855" w:type="dxa"/>
            <w:shd w:val="clear" w:color="auto" w:fill="auto"/>
          </w:tcPr>
          <w:p w:rsidR="008651E6" w:rsidRPr="001E2C84" w:rsidRDefault="008D4F1B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незамедлительно при подтвержд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нии диагноза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Служба ветеринарии Республики Тыва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3.3. Организация контрольно-пропускных пунктов:</w:t>
            </w:r>
          </w:p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- оборудование постов дезбарьерами и шлагбаум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- организация работы мобильных полицейских групп совместно со специалистами контролирующих орг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нов;</w:t>
            </w:r>
          </w:p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- установление запрета ввоза автотранспорта без дезинфекцио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ной обработки;</w:t>
            </w:r>
          </w:p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lastRenderedPageBreak/>
              <w:t>- установление запрета ввоза и вывоза сельскохозяйственных ж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вотных, продукции животноводства</w:t>
            </w:r>
          </w:p>
        </w:tc>
        <w:tc>
          <w:tcPr>
            <w:tcW w:w="1855" w:type="dxa"/>
            <w:shd w:val="clear" w:color="auto" w:fill="auto"/>
          </w:tcPr>
          <w:p w:rsidR="008651E6" w:rsidRPr="001E2C84" w:rsidRDefault="008D4F1B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lastRenderedPageBreak/>
              <w:t>незамедлительно при подтвержд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нии диагноза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8D4F1B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дминистрации муниципальных образований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, МВД по Республике Тыва (по согласованию), Управление Россел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ь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хознадзора по Республикам Хакасия и Тыва (по согласованию), Служба ветеринарии Республики Тыва, Управление Роспотребн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дзора по Республике Тыва (по согласов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нию)</w:t>
            </w:r>
          </w:p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977CD4" w:rsidP="00977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3.4. Определение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 xml:space="preserve"> для уничтожения трупов животных и биологических отходов  </w:t>
            </w:r>
          </w:p>
        </w:tc>
        <w:tc>
          <w:tcPr>
            <w:tcW w:w="1855" w:type="dxa"/>
            <w:shd w:val="clear" w:color="auto" w:fill="auto"/>
          </w:tcPr>
          <w:p w:rsidR="00956556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кара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тина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8D4F1B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дминистрации муниципальных образований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, Служба в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е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теринарии Республики Тыва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C25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3.5. Организ</w:t>
            </w:r>
            <w:r w:rsidR="00977CD4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отчуждени</w:t>
            </w:r>
            <w:r w:rsidR="00977CD4">
              <w:rPr>
                <w:rFonts w:ascii="Times New Roman" w:hAnsi="Times New Roman"/>
                <w:sz w:val="24"/>
                <w:szCs w:val="24"/>
              </w:rPr>
              <w:t>я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больных и изъяти</w:t>
            </w:r>
            <w:r w:rsidR="00C25EAC">
              <w:rPr>
                <w:rFonts w:ascii="Times New Roman" w:hAnsi="Times New Roman"/>
                <w:sz w:val="24"/>
                <w:szCs w:val="24"/>
              </w:rPr>
              <w:t>я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контактных с больными животными восприимчивых ж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вотных</w:t>
            </w:r>
          </w:p>
        </w:tc>
        <w:tc>
          <w:tcPr>
            <w:tcW w:w="1855" w:type="dxa"/>
            <w:shd w:val="clear" w:color="auto" w:fill="auto"/>
          </w:tcPr>
          <w:p w:rsidR="00956556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кара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тина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 xml:space="preserve">Служба ветеринарии Республики Тыва, </w:t>
            </w:r>
            <w:r w:rsidR="008D4F1B"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дминистрации муниц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пальных образований</w:t>
            </w:r>
            <w:r w:rsidR="008D4F1B" w:rsidRPr="001E2C8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, МВД по Республике Тыва (по согласованию)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8651E6" w:rsidP="00C25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3.6. Организ</w:t>
            </w:r>
            <w:r w:rsidR="00C25EAC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выезд</w:t>
            </w:r>
            <w:r w:rsidR="00C25EA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врачей </w:t>
            </w:r>
            <w:r w:rsidR="00C25EA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чабанские стоянки и </w:t>
            </w:r>
            <w:r w:rsidR="00C25EA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ленные пункты для контроля за состоянием зд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ровья населения, в том числе детей</w:t>
            </w:r>
            <w:r w:rsidR="00C25EAC">
              <w:rPr>
                <w:rFonts w:ascii="Times New Roman" w:hAnsi="Times New Roman"/>
                <w:sz w:val="24"/>
                <w:szCs w:val="24"/>
              </w:rPr>
              <w:t>,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и оказания соответствующей медицинской п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мощи</w:t>
            </w:r>
          </w:p>
        </w:tc>
        <w:tc>
          <w:tcPr>
            <w:tcW w:w="1855" w:type="dxa"/>
            <w:shd w:val="clear" w:color="auto" w:fill="auto"/>
          </w:tcPr>
          <w:p w:rsidR="00956556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кара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тина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CF2D1D" w:rsidP="00CF2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 Обеспечение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 xml:space="preserve"> дезинфекций территорий хозяйств, помещений, где содержались больные восприимчивые живо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т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ные, и другие объекты, с которыми контактировали больные воспр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и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имчивые животные</w:t>
            </w:r>
          </w:p>
        </w:tc>
        <w:tc>
          <w:tcPr>
            <w:tcW w:w="1855" w:type="dxa"/>
            <w:shd w:val="clear" w:color="auto" w:fill="auto"/>
          </w:tcPr>
          <w:p w:rsidR="00956556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кара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тина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8651E6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Служба ветеринарии Республики Тыва</w:t>
            </w:r>
          </w:p>
        </w:tc>
      </w:tr>
      <w:tr w:rsidR="008651E6" w:rsidRPr="001E2C84" w:rsidTr="001E2C84">
        <w:trPr>
          <w:jc w:val="center"/>
        </w:trPr>
        <w:tc>
          <w:tcPr>
            <w:tcW w:w="6878" w:type="dxa"/>
            <w:shd w:val="clear" w:color="auto" w:fill="auto"/>
          </w:tcPr>
          <w:p w:rsidR="008651E6" w:rsidRPr="001E2C84" w:rsidRDefault="00CF2D1D" w:rsidP="00A7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 Введение запрета на перес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ылку, включая почтовые отправл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е</w:t>
            </w:r>
            <w:r w:rsidR="00A76D44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пищевы</w:t>
            </w:r>
            <w:r w:rsidR="00956556">
              <w:rPr>
                <w:rFonts w:ascii="Times New Roman" w:hAnsi="Times New Roman"/>
                <w:sz w:val="24"/>
                <w:szCs w:val="24"/>
              </w:rPr>
              <w:t>х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 xml:space="preserve"> продукт</w:t>
            </w:r>
            <w:r w:rsidR="00956556">
              <w:rPr>
                <w:rFonts w:ascii="Times New Roman" w:hAnsi="Times New Roman"/>
                <w:sz w:val="24"/>
                <w:szCs w:val="24"/>
              </w:rPr>
              <w:t>ов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 xml:space="preserve"> и сырь</w:t>
            </w:r>
            <w:r w:rsidR="00956556">
              <w:rPr>
                <w:rFonts w:ascii="Times New Roman" w:hAnsi="Times New Roman"/>
                <w:sz w:val="24"/>
                <w:szCs w:val="24"/>
              </w:rPr>
              <w:t>я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 xml:space="preserve"> животного прои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с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хождения</w:t>
            </w:r>
          </w:p>
        </w:tc>
        <w:tc>
          <w:tcPr>
            <w:tcW w:w="1855" w:type="dxa"/>
            <w:shd w:val="clear" w:color="auto" w:fill="auto"/>
          </w:tcPr>
          <w:p w:rsidR="00956556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8651E6" w:rsidRPr="001E2C84" w:rsidRDefault="008651E6" w:rsidP="001E2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кара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н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>тина</w:t>
            </w:r>
          </w:p>
        </w:tc>
        <w:tc>
          <w:tcPr>
            <w:tcW w:w="7200" w:type="dxa"/>
            <w:shd w:val="clear" w:color="auto" w:fill="auto"/>
          </w:tcPr>
          <w:p w:rsidR="008651E6" w:rsidRPr="001E2C84" w:rsidRDefault="008D4F1B" w:rsidP="001E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дминистрации муниципальных образований</w:t>
            </w:r>
            <w:r w:rsidRPr="001E2C8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, Служба ветеринарии Республики Тыва, Управление Россельхозна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д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зора по Республикам Хакасия и Тыва (по согласованию), Управл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е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ние Федеральной почтовой связи Республики Тыва (по согласов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а</w:t>
            </w:r>
            <w:r w:rsidR="008651E6" w:rsidRPr="001E2C84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</w:tbl>
    <w:p w:rsidR="008651E6" w:rsidRPr="007C7F5C" w:rsidRDefault="008651E6" w:rsidP="00865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062" w:rsidRPr="00B4194A" w:rsidRDefault="00EA3062" w:rsidP="00066960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EA3062" w:rsidRPr="00B4194A" w:rsidSect="008651E6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8C" w:rsidRDefault="00720A8C" w:rsidP="007E5D97">
      <w:pPr>
        <w:spacing w:after="0" w:line="240" w:lineRule="auto"/>
      </w:pPr>
      <w:r>
        <w:separator/>
      </w:r>
    </w:p>
  </w:endnote>
  <w:endnote w:type="continuationSeparator" w:id="0">
    <w:p w:rsidR="00720A8C" w:rsidRDefault="00720A8C" w:rsidP="007E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8C" w:rsidRDefault="00720A8C" w:rsidP="007E5D97">
      <w:pPr>
        <w:spacing w:after="0" w:line="240" w:lineRule="auto"/>
      </w:pPr>
      <w:r>
        <w:separator/>
      </w:r>
    </w:p>
  </w:footnote>
  <w:footnote w:type="continuationSeparator" w:id="0">
    <w:p w:rsidR="00720A8C" w:rsidRDefault="00720A8C" w:rsidP="007E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4A" w:rsidRPr="00B4194A" w:rsidRDefault="00175848" w:rsidP="00B4194A">
    <w:pPr>
      <w:pStyle w:val="a6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848" w:rsidRPr="00175848" w:rsidRDefault="00175848" w:rsidP="00175848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620200099/30727(3)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175848" w:rsidRPr="00175848" w:rsidRDefault="00175848" w:rsidP="0017584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620200099/30727(3)</w:t>
                    </w:r>
                  </w:p>
                </w:txbxContent>
              </v:textbox>
            </v:rect>
          </w:pict>
        </mc:Fallback>
      </mc:AlternateContent>
    </w:r>
    <w:r w:rsidR="00B4194A" w:rsidRPr="00B4194A">
      <w:rPr>
        <w:rFonts w:ascii="Times New Roman" w:hAnsi="Times New Roman"/>
        <w:sz w:val="24"/>
      </w:rPr>
      <w:fldChar w:fldCharType="begin"/>
    </w:r>
    <w:r w:rsidR="00B4194A" w:rsidRPr="00B4194A">
      <w:rPr>
        <w:rFonts w:ascii="Times New Roman" w:hAnsi="Times New Roman"/>
        <w:sz w:val="24"/>
      </w:rPr>
      <w:instrText>PAGE   \* MERGEFORMAT</w:instrText>
    </w:r>
    <w:r w:rsidR="00B4194A" w:rsidRPr="00B4194A">
      <w:rPr>
        <w:rFonts w:ascii="Times New Roman" w:hAnsi="Times New Roman"/>
        <w:sz w:val="24"/>
      </w:rPr>
      <w:fldChar w:fldCharType="separate"/>
    </w:r>
    <w:r w:rsidR="006A4166">
      <w:rPr>
        <w:rFonts w:ascii="Times New Roman" w:hAnsi="Times New Roman"/>
        <w:noProof/>
        <w:sz w:val="24"/>
      </w:rPr>
      <w:t>2</w:t>
    </w:r>
    <w:r w:rsidR="00B4194A" w:rsidRPr="00B4194A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DA2"/>
    <w:multiLevelType w:val="multilevel"/>
    <w:tmpl w:val="E87451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021E51"/>
    <w:multiLevelType w:val="hybridMultilevel"/>
    <w:tmpl w:val="AFC80A7E"/>
    <w:lvl w:ilvl="0" w:tplc="B1C8DF8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49519B"/>
    <w:multiLevelType w:val="multilevel"/>
    <w:tmpl w:val="CD1C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20542"/>
    <w:multiLevelType w:val="hybridMultilevel"/>
    <w:tmpl w:val="20862894"/>
    <w:lvl w:ilvl="0" w:tplc="EFA2A2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411CA7"/>
    <w:multiLevelType w:val="multilevel"/>
    <w:tmpl w:val="2214AA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6bc6c71-d385-4933-97da-f440ce4de562"/>
  </w:docVars>
  <w:rsids>
    <w:rsidRoot w:val="001C14A5"/>
    <w:rsid w:val="00005002"/>
    <w:rsid w:val="000055C1"/>
    <w:rsid w:val="00006853"/>
    <w:rsid w:val="00017194"/>
    <w:rsid w:val="00020D5B"/>
    <w:rsid w:val="00034D6B"/>
    <w:rsid w:val="000363E4"/>
    <w:rsid w:val="00040BA5"/>
    <w:rsid w:val="00041320"/>
    <w:rsid w:val="00041B17"/>
    <w:rsid w:val="000439E4"/>
    <w:rsid w:val="000449C9"/>
    <w:rsid w:val="00047A47"/>
    <w:rsid w:val="00057643"/>
    <w:rsid w:val="00066960"/>
    <w:rsid w:val="00071815"/>
    <w:rsid w:val="0007203F"/>
    <w:rsid w:val="0007464C"/>
    <w:rsid w:val="000762D1"/>
    <w:rsid w:val="00076317"/>
    <w:rsid w:val="00076CC3"/>
    <w:rsid w:val="00086BF6"/>
    <w:rsid w:val="00090A66"/>
    <w:rsid w:val="00093543"/>
    <w:rsid w:val="000A145F"/>
    <w:rsid w:val="000A2995"/>
    <w:rsid w:val="000A3CC1"/>
    <w:rsid w:val="000B3B0C"/>
    <w:rsid w:val="000B3FEF"/>
    <w:rsid w:val="000C42C6"/>
    <w:rsid w:val="000D21DF"/>
    <w:rsid w:val="000D739D"/>
    <w:rsid w:val="000E14E1"/>
    <w:rsid w:val="000F0B92"/>
    <w:rsid w:val="000F1633"/>
    <w:rsid w:val="000F2FAF"/>
    <w:rsid w:val="00100854"/>
    <w:rsid w:val="00106B88"/>
    <w:rsid w:val="001101CD"/>
    <w:rsid w:val="001124DB"/>
    <w:rsid w:val="001148AE"/>
    <w:rsid w:val="001152C0"/>
    <w:rsid w:val="0011596B"/>
    <w:rsid w:val="001200F4"/>
    <w:rsid w:val="00122EFD"/>
    <w:rsid w:val="00125A23"/>
    <w:rsid w:val="00130C41"/>
    <w:rsid w:val="00137927"/>
    <w:rsid w:val="00143967"/>
    <w:rsid w:val="0014629D"/>
    <w:rsid w:val="00146AA5"/>
    <w:rsid w:val="0015087A"/>
    <w:rsid w:val="001552CE"/>
    <w:rsid w:val="001600E9"/>
    <w:rsid w:val="00161757"/>
    <w:rsid w:val="001623D2"/>
    <w:rsid w:val="00174796"/>
    <w:rsid w:val="001755E9"/>
    <w:rsid w:val="00175848"/>
    <w:rsid w:val="00180C3C"/>
    <w:rsid w:val="001950EE"/>
    <w:rsid w:val="001A0149"/>
    <w:rsid w:val="001A3BED"/>
    <w:rsid w:val="001A7659"/>
    <w:rsid w:val="001B025E"/>
    <w:rsid w:val="001B4BAB"/>
    <w:rsid w:val="001B738E"/>
    <w:rsid w:val="001C01F4"/>
    <w:rsid w:val="001C0D33"/>
    <w:rsid w:val="001C14A5"/>
    <w:rsid w:val="001C65AA"/>
    <w:rsid w:val="001D4500"/>
    <w:rsid w:val="001D5D36"/>
    <w:rsid w:val="001E1BBE"/>
    <w:rsid w:val="001E2C84"/>
    <w:rsid w:val="001E5E43"/>
    <w:rsid w:val="001E7F8F"/>
    <w:rsid w:val="001F3001"/>
    <w:rsid w:val="00200363"/>
    <w:rsid w:val="00205DDC"/>
    <w:rsid w:val="002065A2"/>
    <w:rsid w:val="0021177E"/>
    <w:rsid w:val="00213005"/>
    <w:rsid w:val="00224A17"/>
    <w:rsid w:val="0023116F"/>
    <w:rsid w:val="002346B8"/>
    <w:rsid w:val="00237820"/>
    <w:rsid w:val="00245F5B"/>
    <w:rsid w:val="0024790A"/>
    <w:rsid w:val="00254826"/>
    <w:rsid w:val="00267243"/>
    <w:rsid w:val="00267DF1"/>
    <w:rsid w:val="002709A9"/>
    <w:rsid w:val="002743FB"/>
    <w:rsid w:val="00276A67"/>
    <w:rsid w:val="00283E88"/>
    <w:rsid w:val="00291FDB"/>
    <w:rsid w:val="00292509"/>
    <w:rsid w:val="002A4570"/>
    <w:rsid w:val="002A4702"/>
    <w:rsid w:val="002B04B8"/>
    <w:rsid w:val="002B15B3"/>
    <w:rsid w:val="002B189C"/>
    <w:rsid w:val="002B3422"/>
    <w:rsid w:val="002B65BC"/>
    <w:rsid w:val="002B6BD7"/>
    <w:rsid w:val="002C7CE4"/>
    <w:rsid w:val="002D0C0C"/>
    <w:rsid w:val="002D2ACB"/>
    <w:rsid w:val="002E02DF"/>
    <w:rsid w:val="002E3910"/>
    <w:rsid w:val="002F01A5"/>
    <w:rsid w:val="002F1056"/>
    <w:rsid w:val="002F10DC"/>
    <w:rsid w:val="0030234C"/>
    <w:rsid w:val="00304324"/>
    <w:rsid w:val="0031056D"/>
    <w:rsid w:val="00311273"/>
    <w:rsid w:val="00317B73"/>
    <w:rsid w:val="003233A0"/>
    <w:rsid w:val="00324DF2"/>
    <w:rsid w:val="00324EF3"/>
    <w:rsid w:val="003260C0"/>
    <w:rsid w:val="0033056F"/>
    <w:rsid w:val="0033154A"/>
    <w:rsid w:val="00344DBF"/>
    <w:rsid w:val="00364C0E"/>
    <w:rsid w:val="003722E5"/>
    <w:rsid w:val="0038026A"/>
    <w:rsid w:val="003830ED"/>
    <w:rsid w:val="003848DC"/>
    <w:rsid w:val="003874FC"/>
    <w:rsid w:val="003926F0"/>
    <w:rsid w:val="00393971"/>
    <w:rsid w:val="003A4576"/>
    <w:rsid w:val="003B1C60"/>
    <w:rsid w:val="003B259B"/>
    <w:rsid w:val="003B382F"/>
    <w:rsid w:val="003C0098"/>
    <w:rsid w:val="003C25AC"/>
    <w:rsid w:val="003E75F1"/>
    <w:rsid w:val="003E7658"/>
    <w:rsid w:val="003F6953"/>
    <w:rsid w:val="00406C4E"/>
    <w:rsid w:val="00411798"/>
    <w:rsid w:val="00411DF3"/>
    <w:rsid w:val="004128CD"/>
    <w:rsid w:val="004170B3"/>
    <w:rsid w:val="004307C3"/>
    <w:rsid w:val="00435B36"/>
    <w:rsid w:val="004363EE"/>
    <w:rsid w:val="00446683"/>
    <w:rsid w:val="00447DB8"/>
    <w:rsid w:val="00451B6C"/>
    <w:rsid w:val="00454C48"/>
    <w:rsid w:val="0045563A"/>
    <w:rsid w:val="00455B77"/>
    <w:rsid w:val="00455BF2"/>
    <w:rsid w:val="00461B21"/>
    <w:rsid w:val="00463F7C"/>
    <w:rsid w:val="00480343"/>
    <w:rsid w:val="004811E1"/>
    <w:rsid w:val="00485754"/>
    <w:rsid w:val="004900C6"/>
    <w:rsid w:val="004939C6"/>
    <w:rsid w:val="004A35A8"/>
    <w:rsid w:val="004B0E6C"/>
    <w:rsid w:val="004B1398"/>
    <w:rsid w:val="004B47F1"/>
    <w:rsid w:val="004C267B"/>
    <w:rsid w:val="004C58CA"/>
    <w:rsid w:val="004E113B"/>
    <w:rsid w:val="004F529B"/>
    <w:rsid w:val="005012B6"/>
    <w:rsid w:val="005044DF"/>
    <w:rsid w:val="00513E57"/>
    <w:rsid w:val="00515E75"/>
    <w:rsid w:val="00520E88"/>
    <w:rsid w:val="00521405"/>
    <w:rsid w:val="00522314"/>
    <w:rsid w:val="005278CA"/>
    <w:rsid w:val="0053548C"/>
    <w:rsid w:val="005369E5"/>
    <w:rsid w:val="00557A30"/>
    <w:rsid w:val="00557E4A"/>
    <w:rsid w:val="005603F1"/>
    <w:rsid w:val="0056562A"/>
    <w:rsid w:val="00566D59"/>
    <w:rsid w:val="005670EB"/>
    <w:rsid w:val="00567C5A"/>
    <w:rsid w:val="00570D17"/>
    <w:rsid w:val="0057206C"/>
    <w:rsid w:val="00580CDD"/>
    <w:rsid w:val="00585CBC"/>
    <w:rsid w:val="00586808"/>
    <w:rsid w:val="00587CA7"/>
    <w:rsid w:val="005915CD"/>
    <w:rsid w:val="005A0549"/>
    <w:rsid w:val="005A45A9"/>
    <w:rsid w:val="005B0039"/>
    <w:rsid w:val="005B2929"/>
    <w:rsid w:val="005B5212"/>
    <w:rsid w:val="005B5B3D"/>
    <w:rsid w:val="005D2B8C"/>
    <w:rsid w:val="005D58FB"/>
    <w:rsid w:val="005E192F"/>
    <w:rsid w:val="005E1AE4"/>
    <w:rsid w:val="005E4B95"/>
    <w:rsid w:val="005F6FB5"/>
    <w:rsid w:val="0060333A"/>
    <w:rsid w:val="00613A85"/>
    <w:rsid w:val="00630C70"/>
    <w:rsid w:val="00631D7F"/>
    <w:rsid w:val="006352FF"/>
    <w:rsid w:val="00635EE0"/>
    <w:rsid w:val="00637523"/>
    <w:rsid w:val="00637CB4"/>
    <w:rsid w:val="00641F6D"/>
    <w:rsid w:val="0064335B"/>
    <w:rsid w:val="00652123"/>
    <w:rsid w:val="00654C9E"/>
    <w:rsid w:val="00660201"/>
    <w:rsid w:val="00661D98"/>
    <w:rsid w:val="00661F5A"/>
    <w:rsid w:val="00662A15"/>
    <w:rsid w:val="00664EC6"/>
    <w:rsid w:val="006669B2"/>
    <w:rsid w:val="006767FC"/>
    <w:rsid w:val="00677BED"/>
    <w:rsid w:val="006936B1"/>
    <w:rsid w:val="006A38A1"/>
    <w:rsid w:val="006A4166"/>
    <w:rsid w:val="006A482C"/>
    <w:rsid w:val="006C3574"/>
    <w:rsid w:val="006C39A3"/>
    <w:rsid w:val="006D4B34"/>
    <w:rsid w:val="006D58E3"/>
    <w:rsid w:val="006E0048"/>
    <w:rsid w:val="006F165C"/>
    <w:rsid w:val="006F60FB"/>
    <w:rsid w:val="00703D45"/>
    <w:rsid w:val="00704FCD"/>
    <w:rsid w:val="007109CC"/>
    <w:rsid w:val="00720109"/>
    <w:rsid w:val="00720A8C"/>
    <w:rsid w:val="00737F30"/>
    <w:rsid w:val="00740C92"/>
    <w:rsid w:val="00741888"/>
    <w:rsid w:val="00750A88"/>
    <w:rsid w:val="007512F1"/>
    <w:rsid w:val="00761A67"/>
    <w:rsid w:val="00762F6C"/>
    <w:rsid w:val="007657EE"/>
    <w:rsid w:val="00766391"/>
    <w:rsid w:val="007664F1"/>
    <w:rsid w:val="0076717B"/>
    <w:rsid w:val="00767C51"/>
    <w:rsid w:val="00767E3C"/>
    <w:rsid w:val="007760EC"/>
    <w:rsid w:val="0079274E"/>
    <w:rsid w:val="0079312E"/>
    <w:rsid w:val="00796426"/>
    <w:rsid w:val="00796438"/>
    <w:rsid w:val="00797741"/>
    <w:rsid w:val="007A1613"/>
    <w:rsid w:val="007B4B4B"/>
    <w:rsid w:val="007C196B"/>
    <w:rsid w:val="007C1D46"/>
    <w:rsid w:val="007C6C65"/>
    <w:rsid w:val="007D6F3E"/>
    <w:rsid w:val="007D7137"/>
    <w:rsid w:val="007E5D97"/>
    <w:rsid w:val="007F0D18"/>
    <w:rsid w:val="008036E6"/>
    <w:rsid w:val="00804BDC"/>
    <w:rsid w:val="00817E0D"/>
    <w:rsid w:val="00842AEE"/>
    <w:rsid w:val="00845AB0"/>
    <w:rsid w:val="008651E6"/>
    <w:rsid w:val="00875792"/>
    <w:rsid w:val="00877229"/>
    <w:rsid w:val="008A6E15"/>
    <w:rsid w:val="008A7047"/>
    <w:rsid w:val="008A71A8"/>
    <w:rsid w:val="008B29A3"/>
    <w:rsid w:val="008B44E0"/>
    <w:rsid w:val="008B5EC2"/>
    <w:rsid w:val="008C4BDD"/>
    <w:rsid w:val="008C572B"/>
    <w:rsid w:val="008C7750"/>
    <w:rsid w:val="008D4F1B"/>
    <w:rsid w:val="008D74F6"/>
    <w:rsid w:val="008E3B71"/>
    <w:rsid w:val="008E47E7"/>
    <w:rsid w:val="008F4B99"/>
    <w:rsid w:val="00900152"/>
    <w:rsid w:val="0090303C"/>
    <w:rsid w:val="00907825"/>
    <w:rsid w:val="00907BC9"/>
    <w:rsid w:val="00916E30"/>
    <w:rsid w:val="0092106A"/>
    <w:rsid w:val="00921757"/>
    <w:rsid w:val="00921BEB"/>
    <w:rsid w:val="00922C78"/>
    <w:rsid w:val="009233D5"/>
    <w:rsid w:val="00925C1F"/>
    <w:rsid w:val="00930A14"/>
    <w:rsid w:val="00933509"/>
    <w:rsid w:val="00935807"/>
    <w:rsid w:val="00940078"/>
    <w:rsid w:val="0094491E"/>
    <w:rsid w:val="00947CB0"/>
    <w:rsid w:val="00951EC6"/>
    <w:rsid w:val="009529A2"/>
    <w:rsid w:val="009548EF"/>
    <w:rsid w:val="00956556"/>
    <w:rsid w:val="00970279"/>
    <w:rsid w:val="0097053A"/>
    <w:rsid w:val="00971AEB"/>
    <w:rsid w:val="00975A4F"/>
    <w:rsid w:val="00977CD4"/>
    <w:rsid w:val="00983586"/>
    <w:rsid w:val="0099070E"/>
    <w:rsid w:val="009962F7"/>
    <w:rsid w:val="009A1004"/>
    <w:rsid w:val="009A336F"/>
    <w:rsid w:val="009A5E8C"/>
    <w:rsid w:val="009B2EBA"/>
    <w:rsid w:val="009B3857"/>
    <w:rsid w:val="009C2970"/>
    <w:rsid w:val="009D0A79"/>
    <w:rsid w:val="009D441D"/>
    <w:rsid w:val="009E12D2"/>
    <w:rsid w:val="009F0C01"/>
    <w:rsid w:val="009F3BA9"/>
    <w:rsid w:val="009F4B61"/>
    <w:rsid w:val="009F7A7D"/>
    <w:rsid w:val="00A11F24"/>
    <w:rsid w:val="00A157A1"/>
    <w:rsid w:val="00A1719C"/>
    <w:rsid w:val="00A22186"/>
    <w:rsid w:val="00A232C7"/>
    <w:rsid w:val="00A27319"/>
    <w:rsid w:val="00A3236F"/>
    <w:rsid w:val="00A370CE"/>
    <w:rsid w:val="00A37DE7"/>
    <w:rsid w:val="00A472DD"/>
    <w:rsid w:val="00A51EAD"/>
    <w:rsid w:val="00A53680"/>
    <w:rsid w:val="00A56D87"/>
    <w:rsid w:val="00A6101C"/>
    <w:rsid w:val="00A61693"/>
    <w:rsid w:val="00A64F0F"/>
    <w:rsid w:val="00A70FAD"/>
    <w:rsid w:val="00A7432F"/>
    <w:rsid w:val="00A7594B"/>
    <w:rsid w:val="00A76D44"/>
    <w:rsid w:val="00A77A03"/>
    <w:rsid w:val="00A81F4A"/>
    <w:rsid w:val="00A83412"/>
    <w:rsid w:val="00A84927"/>
    <w:rsid w:val="00AB48FA"/>
    <w:rsid w:val="00AB4FD8"/>
    <w:rsid w:val="00AC0399"/>
    <w:rsid w:val="00AC0B70"/>
    <w:rsid w:val="00AC1821"/>
    <w:rsid w:val="00AC1BAB"/>
    <w:rsid w:val="00AC2451"/>
    <w:rsid w:val="00AC47B7"/>
    <w:rsid w:val="00AD46C5"/>
    <w:rsid w:val="00AD7D69"/>
    <w:rsid w:val="00AE1481"/>
    <w:rsid w:val="00AF6653"/>
    <w:rsid w:val="00B03C28"/>
    <w:rsid w:val="00B0540C"/>
    <w:rsid w:val="00B1040B"/>
    <w:rsid w:val="00B1301E"/>
    <w:rsid w:val="00B138FC"/>
    <w:rsid w:val="00B20894"/>
    <w:rsid w:val="00B22C2C"/>
    <w:rsid w:val="00B248C8"/>
    <w:rsid w:val="00B32CF8"/>
    <w:rsid w:val="00B32DC5"/>
    <w:rsid w:val="00B4194A"/>
    <w:rsid w:val="00B4778E"/>
    <w:rsid w:val="00B54A88"/>
    <w:rsid w:val="00B556DD"/>
    <w:rsid w:val="00B57ED7"/>
    <w:rsid w:val="00B6133A"/>
    <w:rsid w:val="00B66B07"/>
    <w:rsid w:val="00B74004"/>
    <w:rsid w:val="00B8144E"/>
    <w:rsid w:val="00BA3F55"/>
    <w:rsid w:val="00BA4F16"/>
    <w:rsid w:val="00BA6FAF"/>
    <w:rsid w:val="00BB1C67"/>
    <w:rsid w:val="00BB2344"/>
    <w:rsid w:val="00BB6096"/>
    <w:rsid w:val="00BC557A"/>
    <w:rsid w:val="00BD159C"/>
    <w:rsid w:val="00BD4E5A"/>
    <w:rsid w:val="00BD726E"/>
    <w:rsid w:val="00BD77CD"/>
    <w:rsid w:val="00BE66E7"/>
    <w:rsid w:val="00C007F3"/>
    <w:rsid w:val="00C05830"/>
    <w:rsid w:val="00C061F0"/>
    <w:rsid w:val="00C124CF"/>
    <w:rsid w:val="00C17B30"/>
    <w:rsid w:val="00C22B70"/>
    <w:rsid w:val="00C22EB2"/>
    <w:rsid w:val="00C2311E"/>
    <w:rsid w:val="00C23358"/>
    <w:rsid w:val="00C24246"/>
    <w:rsid w:val="00C25EAC"/>
    <w:rsid w:val="00C4113F"/>
    <w:rsid w:val="00C42799"/>
    <w:rsid w:val="00C45444"/>
    <w:rsid w:val="00C50551"/>
    <w:rsid w:val="00C62F27"/>
    <w:rsid w:val="00C64F05"/>
    <w:rsid w:val="00C71C35"/>
    <w:rsid w:val="00C76040"/>
    <w:rsid w:val="00C82460"/>
    <w:rsid w:val="00C93200"/>
    <w:rsid w:val="00C93EF5"/>
    <w:rsid w:val="00C95914"/>
    <w:rsid w:val="00CA0242"/>
    <w:rsid w:val="00CA1E55"/>
    <w:rsid w:val="00CB1588"/>
    <w:rsid w:val="00CB4D0B"/>
    <w:rsid w:val="00CB70EC"/>
    <w:rsid w:val="00CB79FA"/>
    <w:rsid w:val="00CB7D03"/>
    <w:rsid w:val="00CC11B2"/>
    <w:rsid w:val="00CC1405"/>
    <w:rsid w:val="00CC2DD1"/>
    <w:rsid w:val="00CC3898"/>
    <w:rsid w:val="00CC5DD3"/>
    <w:rsid w:val="00CC6900"/>
    <w:rsid w:val="00CC7013"/>
    <w:rsid w:val="00CD1DF6"/>
    <w:rsid w:val="00CE0407"/>
    <w:rsid w:val="00CE2C4C"/>
    <w:rsid w:val="00CE47F6"/>
    <w:rsid w:val="00CE763E"/>
    <w:rsid w:val="00CE7A56"/>
    <w:rsid w:val="00CE7EA6"/>
    <w:rsid w:val="00CF176F"/>
    <w:rsid w:val="00CF2D1D"/>
    <w:rsid w:val="00CF4147"/>
    <w:rsid w:val="00D07984"/>
    <w:rsid w:val="00D07BCC"/>
    <w:rsid w:val="00D1475D"/>
    <w:rsid w:val="00D1562F"/>
    <w:rsid w:val="00D17B85"/>
    <w:rsid w:val="00D25E43"/>
    <w:rsid w:val="00D26A01"/>
    <w:rsid w:val="00D27E4D"/>
    <w:rsid w:val="00D31BD6"/>
    <w:rsid w:val="00D33F00"/>
    <w:rsid w:val="00D36D14"/>
    <w:rsid w:val="00D4248B"/>
    <w:rsid w:val="00D42581"/>
    <w:rsid w:val="00D45CF9"/>
    <w:rsid w:val="00D53850"/>
    <w:rsid w:val="00D60FF9"/>
    <w:rsid w:val="00D64C87"/>
    <w:rsid w:val="00D77FAB"/>
    <w:rsid w:val="00D9487A"/>
    <w:rsid w:val="00DA7853"/>
    <w:rsid w:val="00DB4BE2"/>
    <w:rsid w:val="00DC1109"/>
    <w:rsid w:val="00DC3C67"/>
    <w:rsid w:val="00DC53E8"/>
    <w:rsid w:val="00DC5739"/>
    <w:rsid w:val="00DC6011"/>
    <w:rsid w:val="00DD01C0"/>
    <w:rsid w:val="00DD6CEA"/>
    <w:rsid w:val="00DE31C0"/>
    <w:rsid w:val="00DE501C"/>
    <w:rsid w:val="00DE663C"/>
    <w:rsid w:val="00DF18F6"/>
    <w:rsid w:val="00DF30DC"/>
    <w:rsid w:val="00DF41FC"/>
    <w:rsid w:val="00E0094D"/>
    <w:rsid w:val="00E121DF"/>
    <w:rsid w:val="00E16A2B"/>
    <w:rsid w:val="00E2441B"/>
    <w:rsid w:val="00E26A49"/>
    <w:rsid w:val="00E32DE5"/>
    <w:rsid w:val="00E341F5"/>
    <w:rsid w:val="00E34D0E"/>
    <w:rsid w:val="00E3518A"/>
    <w:rsid w:val="00E37581"/>
    <w:rsid w:val="00E41E6B"/>
    <w:rsid w:val="00E43B8D"/>
    <w:rsid w:val="00E50269"/>
    <w:rsid w:val="00E50342"/>
    <w:rsid w:val="00E514E9"/>
    <w:rsid w:val="00E51D4F"/>
    <w:rsid w:val="00E5554A"/>
    <w:rsid w:val="00E64227"/>
    <w:rsid w:val="00E673D5"/>
    <w:rsid w:val="00E705A7"/>
    <w:rsid w:val="00E71170"/>
    <w:rsid w:val="00E73B64"/>
    <w:rsid w:val="00E73D6A"/>
    <w:rsid w:val="00E762A8"/>
    <w:rsid w:val="00E76742"/>
    <w:rsid w:val="00E77BB6"/>
    <w:rsid w:val="00E8721A"/>
    <w:rsid w:val="00E94A9A"/>
    <w:rsid w:val="00E9508B"/>
    <w:rsid w:val="00E9532F"/>
    <w:rsid w:val="00EA29E4"/>
    <w:rsid w:val="00EA3062"/>
    <w:rsid w:val="00EA3DB5"/>
    <w:rsid w:val="00EB48AD"/>
    <w:rsid w:val="00EB682A"/>
    <w:rsid w:val="00EC1214"/>
    <w:rsid w:val="00EC22CF"/>
    <w:rsid w:val="00ED617D"/>
    <w:rsid w:val="00ED74F3"/>
    <w:rsid w:val="00ED7504"/>
    <w:rsid w:val="00EF7CAD"/>
    <w:rsid w:val="00F004B7"/>
    <w:rsid w:val="00F03034"/>
    <w:rsid w:val="00F06A0B"/>
    <w:rsid w:val="00F22DD4"/>
    <w:rsid w:val="00F23617"/>
    <w:rsid w:val="00F24550"/>
    <w:rsid w:val="00F25B08"/>
    <w:rsid w:val="00F265E3"/>
    <w:rsid w:val="00F271A4"/>
    <w:rsid w:val="00F32B5B"/>
    <w:rsid w:val="00F33AB7"/>
    <w:rsid w:val="00F46647"/>
    <w:rsid w:val="00F53E33"/>
    <w:rsid w:val="00F62732"/>
    <w:rsid w:val="00F63C73"/>
    <w:rsid w:val="00F72F6E"/>
    <w:rsid w:val="00F758AD"/>
    <w:rsid w:val="00F765AF"/>
    <w:rsid w:val="00F772C7"/>
    <w:rsid w:val="00F85C99"/>
    <w:rsid w:val="00F86C8F"/>
    <w:rsid w:val="00F96079"/>
    <w:rsid w:val="00FB36CF"/>
    <w:rsid w:val="00FC1956"/>
    <w:rsid w:val="00FC774E"/>
    <w:rsid w:val="00FC7A1B"/>
    <w:rsid w:val="00FD186C"/>
    <w:rsid w:val="00FE1F3E"/>
    <w:rsid w:val="00FE30EE"/>
    <w:rsid w:val="00FE6B07"/>
    <w:rsid w:val="00FF069E"/>
    <w:rsid w:val="00FF6421"/>
    <w:rsid w:val="00FF6A4F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character" w:customStyle="1" w:styleId="link">
    <w:name w:val="link"/>
    <w:rsid w:val="00637CB4"/>
  </w:style>
  <w:style w:type="table" w:styleId="ab">
    <w:name w:val="Table Grid"/>
    <w:basedOn w:val="a1"/>
    <w:uiPriority w:val="59"/>
    <w:rsid w:val="000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6D5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character" w:customStyle="1" w:styleId="link">
    <w:name w:val="link"/>
    <w:rsid w:val="00637CB4"/>
  </w:style>
  <w:style w:type="table" w:styleId="ab">
    <w:name w:val="Table Grid"/>
    <w:basedOn w:val="a1"/>
    <w:uiPriority w:val="59"/>
    <w:rsid w:val="000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6D5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2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9779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 Н. Демир-оол</dc:creator>
  <cp:lastModifiedBy>Грецких О.П.</cp:lastModifiedBy>
  <cp:revision>2</cp:revision>
  <cp:lastPrinted>2025-04-10T09:47:00Z</cp:lastPrinted>
  <dcterms:created xsi:type="dcterms:W3CDTF">2025-04-10T09:47:00Z</dcterms:created>
  <dcterms:modified xsi:type="dcterms:W3CDTF">2025-04-10T09:47:00Z</dcterms:modified>
</cp:coreProperties>
</file>