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64BAA5" w14:textId="2CF640B4" w:rsidR="009224B7" w:rsidRDefault="009224B7" w:rsidP="009224B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0248FC" wp14:editId="1487BB35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285D14" w14:textId="3625AC28" w:rsidR="009224B7" w:rsidRPr="009224B7" w:rsidRDefault="009224B7" w:rsidP="009224B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620200099/30780(4)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4472c4 [3204]" stroked="f" strokecolor="#1f3763 [1604]" strokeweight="1pt">
                <v:textbox inset="0,0,0,0">
                  <w:txbxContent>
                    <w:p w14:paraId="51285D14" w14:textId="3625AC28" w:rsidR="009224B7" w:rsidRPr="009224B7" w:rsidRDefault="009224B7" w:rsidP="009224B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620200099/30780(4)</w:t>
                      </w:r>
                    </w:p>
                  </w:txbxContent>
                </v:textbox>
              </v:rect>
            </w:pict>
          </mc:Fallback>
        </mc:AlternateContent>
      </w:r>
    </w:p>
    <w:p w14:paraId="7E1CF7BA" w14:textId="77777777" w:rsidR="009224B7" w:rsidRDefault="009224B7" w:rsidP="009224B7">
      <w:pPr>
        <w:spacing w:after="200" w:line="276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14:paraId="3AEE6766" w14:textId="77777777" w:rsidR="009224B7" w:rsidRPr="009224B7" w:rsidRDefault="009224B7" w:rsidP="009224B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705936B6" w14:textId="77777777" w:rsidR="009224B7" w:rsidRPr="009224B7" w:rsidRDefault="009224B7" w:rsidP="009224B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9224B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9224B7">
        <w:rPr>
          <w:rFonts w:ascii="Times New Roman" w:eastAsia="Calibri" w:hAnsi="Times New Roman" w:cs="Times New Roman"/>
          <w:sz w:val="36"/>
          <w:szCs w:val="36"/>
        </w:rPr>
        <w:br/>
      </w:r>
      <w:r w:rsidRPr="009224B7">
        <w:rPr>
          <w:rFonts w:ascii="Times New Roman" w:eastAsia="Calibri" w:hAnsi="Times New Roman" w:cs="Times New Roman"/>
          <w:b/>
          <w:sz w:val="36"/>
          <w:szCs w:val="36"/>
        </w:rPr>
        <w:t>ПОСТАНОВЛЕНИЕ</w:t>
      </w:r>
    </w:p>
    <w:p w14:paraId="2994DE1A" w14:textId="77777777" w:rsidR="009224B7" w:rsidRPr="009224B7" w:rsidRDefault="009224B7" w:rsidP="009224B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9224B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9224B7">
        <w:rPr>
          <w:rFonts w:ascii="Times New Roman" w:eastAsia="Calibri" w:hAnsi="Times New Roman" w:cs="Times New Roman"/>
          <w:sz w:val="36"/>
          <w:szCs w:val="36"/>
        </w:rPr>
        <w:br/>
      </w:r>
      <w:r w:rsidRPr="009224B7">
        <w:rPr>
          <w:rFonts w:ascii="Times New Roman" w:eastAsia="Calibri" w:hAnsi="Times New Roman" w:cs="Times New Roman"/>
          <w:b/>
          <w:sz w:val="36"/>
          <w:szCs w:val="36"/>
        </w:rPr>
        <w:t>ДОКТААЛ</w:t>
      </w:r>
    </w:p>
    <w:p w14:paraId="3BFB1254" w14:textId="77777777" w:rsid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9FB024C" w14:textId="27E0AAB4" w:rsidR="00A922D0" w:rsidRDefault="00213023" w:rsidP="002130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 апреля 2025 г. № 182</w:t>
      </w:r>
    </w:p>
    <w:p w14:paraId="1D93F906" w14:textId="07E9199E" w:rsidR="00A922D0" w:rsidRDefault="00213023" w:rsidP="0021302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3EFFADE9" w14:textId="77777777" w:rsidR="000625FE" w:rsidRPr="00213023" w:rsidRDefault="000625FE" w:rsidP="00A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C525BC" w14:textId="77777777" w:rsid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0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bookmarkStart w:id="1" w:name="_Hlk137727862"/>
      <w:bookmarkStart w:id="2" w:name="_Hlk124942020"/>
      <w:r w:rsidRPr="00A922D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206E7D1B" w14:textId="77777777" w:rsid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0">
        <w:rPr>
          <w:rFonts w:ascii="Times New Roman" w:hAnsi="Times New Roman" w:cs="Times New Roman"/>
          <w:b/>
          <w:sz w:val="28"/>
          <w:szCs w:val="28"/>
        </w:rPr>
        <w:t>о региональном государственном контроле</w:t>
      </w:r>
    </w:p>
    <w:p w14:paraId="7FE6DBA1" w14:textId="77777777" w:rsid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Pr="00A922D0">
        <w:rPr>
          <w:rFonts w:ascii="Times New Roman" w:hAnsi="Times New Roman" w:cs="Times New Roman"/>
          <w:b/>
          <w:sz w:val="28"/>
          <w:szCs w:val="28"/>
        </w:rPr>
        <w:t>надзоре</w:t>
      </w:r>
      <w:proofErr w:type="gramEnd"/>
      <w:r w:rsidRPr="00A922D0">
        <w:rPr>
          <w:rFonts w:ascii="Times New Roman" w:hAnsi="Times New Roman" w:cs="Times New Roman"/>
          <w:b/>
          <w:sz w:val="28"/>
          <w:szCs w:val="28"/>
        </w:rPr>
        <w:t>) на автомобильном транспорте,</w:t>
      </w:r>
    </w:p>
    <w:p w14:paraId="3DADAFF2" w14:textId="77777777" w:rsid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0">
        <w:rPr>
          <w:rFonts w:ascii="Times New Roman" w:hAnsi="Times New Roman" w:cs="Times New Roman"/>
          <w:b/>
          <w:sz w:val="28"/>
          <w:szCs w:val="28"/>
        </w:rPr>
        <w:t xml:space="preserve"> городском наземном электрическом </w:t>
      </w:r>
    </w:p>
    <w:p w14:paraId="3C6DE0E3" w14:textId="77777777" w:rsid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22D0">
        <w:rPr>
          <w:rFonts w:ascii="Times New Roman" w:hAnsi="Times New Roman" w:cs="Times New Roman"/>
          <w:b/>
          <w:sz w:val="28"/>
          <w:szCs w:val="28"/>
        </w:rPr>
        <w:t xml:space="preserve">транспорте и </w:t>
      </w:r>
      <w:proofErr w:type="gramStart"/>
      <w:r w:rsidRPr="00A922D0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A922D0">
        <w:rPr>
          <w:rFonts w:ascii="Times New Roman" w:hAnsi="Times New Roman" w:cs="Times New Roman"/>
          <w:b/>
          <w:sz w:val="28"/>
          <w:szCs w:val="28"/>
        </w:rPr>
        <w:t xml:space="preserve"> дорожном </w:t>
      </w:r>
    </w:p>
    <w:p w14:paraId="496E15D9" w14:textId="2161A061" w:rsidR="00EA2C8D" w:rsidRPr="00A922D0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922D0">
        <w:rPr>
          <w:rFonts w:ascii="Times New Roman" w:hAnsi="Times New Roman" w:cs="Times New Roman"/>
          <w:b/>
          <w:sz w:val="28"/>
          <w:szCs w:val="28"/>
        </w:rPr>
        <w:t>хозяйстве</w:t>
      </w:r>
      <w:proofErr w:type="gramEnd"/>
      <w:r w:rsidRPr="00A922D0">
        <w:rPr>
          <w:rFonts w:ascii="Times New Roman" w:hAnsi="Times New Roman" w:cs="Times New Roman"/>
          <w:b/>
          <w:sz w:val="28"/>
          <w:szCs w:val="28"/>
        </w:rPr>
        <w:t xml:space="preserve"> Республики Тыва</w:t>
      </w:r>
    </w:p>
    <w:bookmarkEnd w:id="1"/>
    <w:p w14:paraId="1F48F9AE" w14:textId="77777777" w:rsidR="00EA2C8D" w:rsidRDefault="00EA2C8D" w:rsidP="00A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E033750" w14:textId="77777777" w:rsidR="00A922D0" w:rsidRPr="00A922D0" w:rsidRDefault="00A922D0" w:rsidP="00A922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F4580" w14:textId="1812B0DF" w:rsidR="00EA2C8D" w:rsidRPr="00E51F7F" w:rsidRDefault="00EA2C8D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28 декабря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540-ФЗ «О внесении изменений в Федеральный закон «О государственном контроле (надзоре) и муниципальном контроле в Российской Федерации»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Правительство</w:t>
      </w:r>
      <w:r w:rsidR="0046051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 ПОСТАНОВЛЯЕТ:</w:t>
      </w:r>
      <w:bookmarkEnd w:id="2"/>
    </w:p>
    <w:p w14:paraId="20181456" w14:textId="77777777" w:rsidR="00A60D61" w:rsidRPr="00E51F7F" w:rsidRDefault="00A60D61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3A2FAA" w14:textId="0888342D" w:rsidR="00EA2C8D" w:rsidRPr="00E51F7F" w:rsidRDefault="000B36A8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</w:t>
      </w:r>
      <w:r w:rsidR="00EA2C8D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региональном государственном контроле (надзоре) на автомобильном транспорте, городском наземном электрическом транспорте и в дорожном хозяйстве Республики Тыва</w:t>
      </w:r>
      <w:r w:rsidR="0050643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утвержденное постано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лением Правительства Республики Тыва от</w:t>
      </w:r>
      <w:r w:rsidR="00EA2C8D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 сентября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 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№ 519, следу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щие изменения:</w:t>
      </w:r>
    </w:p>
    <w:p w14:paraId="3B35291F" w14:textId="26C93516" w:rsidR="00506438" w:rsidRPr="00E51F7F" w:rsidRDefault="000B36A8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50643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74E03">
        <w:rPr>
          <w:rFonts w:ascii="Times New Roman" w:hAnsi="Times New Roman" w:cs="Times New Roman"/>
          <w:sz w:val="28"/>
          <w:szCs w:val="28"/>
        </w:rPr>
        <w:t>ополнить пунктом 37</w:t>
      </w:r>
      <w:r w:rsidR="00506438" w:rsidRPr="00C74E03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06438" w:rsidRPr="00E51F7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14:paraId="54F0B780" w14:textId="5DED9A48" w:rsidR="00343B88" w:rsidRPr="00E51F7F" w:rsidRDefault="00343B88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E03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0B36A8" w:rsidRPr="00C74E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0B36A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Обязательный профилактический визит не предусматривает отказ контролируемого лица от его проведения.</w:t>
      </w:r>
    </w:p>
    <w:p w14:paraId="4775EFA3" w14:textId="7F44A683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обязательного профилактического визита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3" w:name="_Hlk191021164"/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осуществляющее региональный государственный контроль (надзор)</w:t>
      </w:r>
      <w:r w:rsidR="00C74E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3"/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ходимости,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осмотр, истребование необходимых документов, отбор проб (образцов), инструментальное обследование, испытание, экспертизу.</w:t>
      </w:r>
      <w:proofErr w:type="gramEnd"/>
    </w:p>
    <w:p w14:paraId="00C592EF" w14:textId="77777777" w:rsidR="009224B7" w:rsidRDefault="009224B7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6DEBA" w14:textId="77777777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проведения обязательного профилактического визита не может пр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вышать десять рабочих дней и может быть продлен на срок, необходимый для проведения экспертизы, испытаний.</w:t>
      </w:r>
    </w:p>
    <w:p w14:paraId="28D4218F" w14:textId="517870A0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окончании проведения обязательного профилактического визита с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ставляется акт о проведении обязательного профилактического визита.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лируемое лицо или его представитель знакомится с содержанием акта обяз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тельного профилактического визита.</w:t>
      </w:r>
    </w:p>
    <w:p w14:paraId="6D183F2B" w14:textId="0A3B787F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и (или) уклонения контролируемого лица от его проведения 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лицом, осуществляющим региональный государственный контроль (надзор) составляется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 невозможности проведения обязательного проф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лактического визита.</w:t>
      </w:r>
    </w:p>
    <w:p w14:paraId="563C34C1" w14:textId="5C928F44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составления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 о невозможности пр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ведения обязательного профилактического визита принять решение о повто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проведении обязательного профилактического визита в отношении ко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тролируемого лица.</w:t>
      </w:r>
    </w:p>
    <w:p w14:paraId="02B1E417" w14:textId="07FE1162" w:rsidR="00620315" w:rsidRPr="00E51F7F" w:rsidRDefault="00620315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Предписание об устранении выявленных нарушений обязательных треб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ваний выдается контролируемому лицу в случае, если такие нарушения не устранены до окончания проведения обязательного профилактического виз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Start"/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643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3274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1D174BD4" w14:textId="2C826FBD" w:rsidR="00506438" w:rsidRPr="00E51F7F" w:rsidRDefault="00C74E03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дополнить пунктами 38</w:t>
      </w:r>
      <w:r w:rsidRPr="00C74E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38</w:t>
      </w:r>
      <w:r w:rsidR="0043274E" w:rsidRPr="00C74E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43274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643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14:paraId="1D3D91F1" w14:textId="23135908" w:rsidR="00CA33C3" w:rsidRPr="00E51F7F" w:rsidRDefault="0043274E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74E03"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511288" w:rsidRPr="00C74E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1128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33C3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CA33C3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в форме профилактической беседы</w:t>
      </w:r>
      <w:r w:rsidR="00AB5EEB" w:rsidRPr="00E51F7F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91021376"/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должностным лицом, осуществляющим региональный государственный контроль (надзор)</w:t>
      </w:r>
      <w:r w:rsidR="00CA33C3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4"/>
      <w:r w:rsidR="00CA33C3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месту осуществления деятельности контролируемого лица либо путем использования видео-конференц-связи или мобильного приложения </w:t>
      </w:r>
      <w:r w:rsidR="0051128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33C3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Инспектор</w:t>
      </w:r>
      <w:r w:rsidR="0051128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33C3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149A93" w14:textId="5A3DF419" w:rsidR="00CA33C3" w:rsidRPr="00E51F7F" w:rsidRDefault="00CA33C3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надлежащим ему объектам контроля, их соответствии критериям риска, о 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комендуемых способах снижения категории риска, видах, содержании и об 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тенсивности мероприятий, проводимых в отношении объекта контроля исходя из его отнесения к соответствующей категории риска, а </w:t>
      </w:r>
      <w:r w:rsidR="00AC56D6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региональный государственный контроль (надзор)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ознакомление с объектом контроля, сбор сведений, необходимых для</w:t>
      </w:r>
      <w:r w:rsidR="00DF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  <w:proofErr w:type="gramEnd"/>
    </w:p>
    <w:p w14:paraId="3D4389BD" w14:textId="4DC59154" w:rsidR="00EA2C8D" w:rsidRPr="00E51F7F" w:rsidRDefault="00CA33C3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ве контролируемого лица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0DFCA0" w14:textId="3A03C6D5" w:rsidR="00A60D61" w:rsidRPr="00E51F7F" w:rsidRDefault="00C74E03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620315" w:rsidRPr="00C74E0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="000B36A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6942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Профилактический визит по инициативе контролируемого лица м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 быть проведен по его заявлению, если такое лицо относится к субъектам малого предпринимательства, является социально ориентированной некомме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5694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ческой организацией либо государственным или муниципальным учреждением.</w:t>
      </w:r>
    </w:p>
    <w:p w14:paraId="0BA3F515" w14:textId="123D19A8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подает заявление о проведении профилактического визита посредством единого портала государственных и муниципальных услуг или регионального портала государственных и муниципальных услуг. Ко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14:paraId="2BFDD456" w14:textId="3D7B4F9E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принятия решения о проведении профилактического визита контрольный (надзорный) орган в течение двадцати рабочих дней согласовыв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ет дату его проведения с контролируемым лицом любым способом, обеспеч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вающим фиксирование такого согласования.</w:t>
      </w:r>
    </w:p>
    <w:p w14:paraId="43C7B970" w14:textId="76D5EBBB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принимается в следующих случаях:</w:t>
      </w:r>
    </w:p>
    <w:p w14:paraId="6021E17E" w14:textId="77777777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от контролируемого лица поступило уведомление об отзыве заявления;</w:t>
      </w:r>
    </w:p>
    <w:p w14:paraId="0ED47685" w14:textId="77777777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течение шести месяцев до даты подачи повторного заявления пров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дение профилактического визита было невозможно в связи с отсутствием ко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тролируемого лица по месту осуществления деятельности либо в связи с иными действиями (бездействием) контролируемого лица, повлекшими невозмо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ность проведения профилактического визита;</w:t>
      </w:r>
    </w:p>
    <w:p w14:paraId="07D37455" w14:textId="77777777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14:paraId="56229434" w14:textId="77777777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 органа либо членов их семей.</w:t>
      </w:r>
    </w:p>
    <w:p w14:paraId="079C78FE" w14:textId="66611E38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A60D61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DA638B" w14:textId="553C4DD4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пять рабочих дней до даты его провед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ния.</w:t>
      </w:r>
    </w:p>
    <w:p w14:paraId="0D2998FA" w14:textId="15CA4A30" w:rsidR="00356942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профилактического визита при согласии контролируемого лица </w:t>
      </w:r>
      <w:r w:rsidR="00AC56D6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региональный государственный контроль (надзор)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 отбор проб (образцов), инструментальное обследование,</w:t>
      </w:r>
      <w:r w:rsidR="00DF20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испытание.</w:t>
      </w:r>
    </w:p>
    <w:p w14:paraId="71BFA187" w14:textId="77777777" w:rsidR="000625FE" w:rsidRPr="00E51F7F" w:rsidRDefault="000625FE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DE5B42" w14:textId="722A831E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 и рекомендации, полученные контролируемым лицом в ходе профилактического визита, носят рекомендательный характер.</w:t>
      </w:r>
    </w:p>
    <w:p w14:paraId="605F9B70" w14:textId="05378673" w:rsidR="00356942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Предписания об устранении выявленных в ходе профилактического виз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нарушений обязательных требований контролируемым лицам не могут в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даваться.</w:t>
      </w:r>
    </w:p>
    <w:p w14:paraId="23C3035C" w14:textId="5D7B8FFF" w:rsidR="00343B88" w:rsidRPr="00E51F7F" w:rsidRDefault="0035694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вреда (ущерба) охраняемым законом ценностям или такой вред (ущерб) причинен, </w:t>
      </w:r>
      <w:r w:rsidR="00AC56D6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осуществляющее региональный государственный контроль (надзор)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незамедлительно направляет информацию об этом уполн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моченному должностному лицу контрольного (надзорного) органа для прин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решения о проведении контрольных (надзорных) мероприятий.»;</w:t>
      </w:r>
    </w:p>
    <w:p w14:paraId="7CF92817" w14:textId="00E08877" w:rsidR="00A8714D" w:rsidRPr="00E51F7F" w:rsidRDefault="0043274E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bookmarkStart w:id="5" w:name="_Hlk190937646"/>
      <w:r w:rsidR="004C00A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пун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ктом</w:t>
      </w:r>
      <w:r w:rsidR="00A8714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48</w:t>
      </w:r>
      <w:r w:rsidRPr="00617B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714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bookmarkEnd w:id="5"/>
    <w:p w14:paraId="04D2488B" w14:textId="6BE28D40" w:rsidR="00A8714D" w:rsidRPr="00E51F7F" w:rsidRDefault="00A8714D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7B53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14FD8" w:rsidRPr="00617B5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14FD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 Срок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документарной проверки не может превышать д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сять рабочих дней. 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с момента направления контрольным (надзо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ным) органом контролируемому лицу требования представить необходимые для рассмотрения в ходе документарной проверки документы до момента пре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ставления указанных в требовании документов в контрольный (надзорный) 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ган, а также период с момента направления контролируемому лицу информ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 контрольного (надзорного) органа о выявлении ошибок и (или) противор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чий в представленных контролируемым лицом документах либо о несоотве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ствии сведений, содержащихся в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документах, сведениям, содержащимся в имеющихся у контрольного (надзорного) органа документах и (или) получе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останавливается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274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3AEE9353" w14:textId="55F48CA4" w:rsidR="0043274E" w:rsidRPr="00E51F7F" w:rsidRDefault="0043274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дополнить пунктом 49</w:t>
      </w:r>
      <w:r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2A53965E" w14:textId="7A22D785" w:rsidR="00173BD4" w:rsidRPr="00E51F7F" w:rsidRDefault="0043274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A21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AB5EEB"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 Выездная</w:t>
      </w:r>
      <w:r w:rsidR="00173BD4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проверка может быть проведена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169A47" w14:textId="25E70E1A" w:rsidR="0043274E" w:rsidRPr="00E51F7F" w:rsidRDefault="0043274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5) дополнить пункт</w:t>
      </w:r>
      <w:r w:rsidR="000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ом 51</w:t>
      </w:r>
      <w:r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609B3A08" w14:textId="25B302C7" w:rsidR="00AB5EEB" w:rsidRPr="00E51F7F" w:rsidRDefault="0043274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A21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="00AB5EEB"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5EEB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Рейдовый осмотр может быть проведен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«Инспектор»</w:t>
      </w:r>
      <w:proofErr w:type="gramStart"/>
      <w:r w:rsidR="00AB5EEB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D2D8BE" w14:textId="732322A6" w:rsidR="0043274E" w:rsidRDefault="0043274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дополнить </w:t>
      </w:r>
      <w:r w:rsidR="00073A2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пунктом 52</w:t>
      </w:r>
      <w:r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14:paraId="157F2F20" w14:textId="4BF7BD37" w:rsidR="00E07B12" w:rsidRDefault="0043274E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73A21">
        <w:rPr>
          <w:rFonts w:ascii="Times New Roman" w:eastAsia="Times New Roman" w:hAnsi="Times New Roman" w:cs="Times New Roman"/>
          <w:sz w:val="28"/>
          <w:szCs w:val="28"/>
          <w:lang w:eastAsia="ru-RU"/>
        </w:rPr>
        <w:t>52</w:t>
      </w:r>
      <w:r w:rsidR="00314FD8" w:rsidRPr="00073A2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314FD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Контролируемое</w:t>
      </w:r>
      <w:r w:rsidR="00E07B1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или его представитель знакомится с содерж</w:t>
      </w:r>
      <w:r w:rsidR="00E07B1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07B12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нием акта на месте проведения контрольного (надзорного) мероприятия.</w:t>
      </w:r>
    </w:p>
    <w:p w14:paraId="5F7E50B3" w14:textId="77777777" w:rsidR="00073A21" w:rsidRPr="00E51F7F" w:rsidRDefault="00073A21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58C7D" w14:textId="55F0801A" w:rsidR="00E07B12" w:rsidRPr="00E51F7F" w:rsidRDefault="00E07B12" w:rsidP="00E51F7F">
      <w:pPr>
        <w:pStyle w:val="a5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проведения контрольных (надзорных) мероприятий с использ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ванием мобильного приложения «Инспектор» либо составления акта контрол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(надзорного) мероприятия без взаимодействия, или в иных случаях, уст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Федеральным законом, контрольный (надзорный) орган направляет акт контролируемому лицу в порядке, установленном статьей 21 Федерального закона.</w:t>
      </w:r>
      <w:r w:rsidR="0046356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Контролируемое лицо подписывает акт тем же способом, которым 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готовлен данный акт. При отказе или невозможности подписания контролиру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мым лицом или его представителем акта по итогам проведения контрольного (надзорного) мероприятия в акте делается соответствующая отметка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827B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proofErr w:type="gramEnd"/>
    </w:p>
    <w:p w14:paraId="1B223AD0" w14:textId="458C1B0F" w:rsidR="00A8714D" w:rsidRPr="00E51F7F" w:rsidRDefault="00463569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190876863"/>
      <w:bookmarkStart w:id="7" w:name="_Hlk190877115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C00A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bookmarkEnd w:id="6"/>
      <w:r w:rsidR="00314FD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пункте 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56:</w:t>
      </w:r>
    </w:p>
    <w:p w14:paraId="0D76BC3D" w14:textId="2974095A" w:rsidR="00DE59EE" w:rsidRPr="00E51F7F" w:rsidRDefault="00314FD8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слова «мероприятий» 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«и обязател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профилактических визитов»;</w:t>
      </w:r>
    </w:p>
    <w:p w14:paraId="1F201733" w14:textId="319C8F10" w:rsidR="00DE59EE" w:rsidRPr="00E51F7F" w:rsidRDefault="00314FD8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после слова 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словами 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обязател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профилактических визитов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26CB5B" w14:textId="18BAEFF5" w:rsidR="00DE59EE" w:rsidRPr="00E51F7F" w:rsidRDefault="00314FD8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1129C9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«мероприятий</w:t>
      </w:r>
      <w:proofErr w:type="gramStart"/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словами 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зательных профилактических визитов</w:t>
      </w:r>
      <w:r w:rsidR="001129C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4543501" w14:textId="716FEDED" w:rsidR="00DE59EE" w:rsidRPr="00E51F7F" w:rsidRDefault="00DE59E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314FD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DF20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пунктами 4-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6 следующего содержания:</w:t>
      </w:r>
    </w:p>
    <w:p w14:paraId="6D82441F" w14:textId="6A997E5D" w:rsidR="00DE59EE" w:rsidRPr="00E51F7F" w:rsidRDefault="00CD4A29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решений об отнесении объектов контроля к соответствующей катег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E59EE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рии риска;</w:t>
      </w:r>
    </w:p>
    <w:p w14:paraId="397C5485" w14:textId="77777777" w:rsidR="00DE59EE" w:rsidRPr="00E51F7F" w:rsidRDefault="00DE59E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решений об отказе в проведении обязательных профилактических в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зитов по заявлениям контролируемых лиц;</w:t>
      </w:r>
    </w:p>
    <w:p w14:paraId="32514C39" w14:textId="066F3F10" w:rsidR="00DE59EE" w:rsidRPr="00E51F7F" w:rsidRDefault="00DE59EE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Федеральным законом, в отношении контролируемых лиц или объектов контроля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bookmarkEnd w:id="7"/>
    <w:p w14:paraId="01607BDA" w14:textId="479BB61C" w:rsidR="00CD4A29" w:rsidRPr="00E51F7F" w:rsidRDefault="00463569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C00A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14FD8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58</w:t>
      </w:r>
      <w:r w:rsidR="00CD4A29" w:rsidRPr="00E51F7F">
        <w:rPr>
          <w:rFonts w:ascii="Times New Roman" w:hAnsi="Times New Roman" w:cs="Times New Roman"/>
          <w:sz w:val="28"/>
          <w:szCs w:val="28"/>
        </w:rPr>
        <w:t xml:space="preserve"> 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84FA269" w14:textId="77777777" w:rsidR="00CD4A29" w:rsidRPr="00E51F7F" w:rsidRDefault="00CD4A29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«58.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F11C88" w14:textId="70A966A1" w:rsidR="00DE2737" w:rsidRPr="00E51F7F" w:rsidRDefault="00EA2C8D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контролируемого лица на решение об отнесении объектов ко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троля к соответствующей категории риска рассматривается в срок не более п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ти рабочих дней</w:t>
      </w:r>
      <w:proofErr w:type="gramStart"/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4A2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63569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14:paraId="24B5BF70" w14:textId="0A235D7C" w:rsidR="003A537F" w:rsidRPr="00E51F7F" w:rsidRDefault="004C00AD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A537F" w:rsidRPr="00E51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официального опубликования.</w:t>
      </w:r>
    </w:p>
    <w:p w14:paraId="2C0A707D" w14:textId="658DFC78" w:rsidR="00EA2C8D" w:rsidRPr="00E51F7F" w:rsidRDefault="003A537F" w:rsidP="00E51F7F">
      <w:pPr>
        <w:widowControl w:val="0"/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F7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настоящее постановление на </w:t>
      </w:r>
      <w:r w:rsidR="00DF2086">
        <w:rPr>
          <w:rFonts w:ascii="Times New Roman" w:eastAsia="Times New Roman" w:hAnsi="Times New Roman" w:cs="Times New Roman"/>
          <w:sz w:val="28"/>
          <w:szCs w:val="28"/>
        </w:rPr>
        <w:t>«О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 xml:space="preserve">фициальном </w:t>
      </w:r>
      <w:proofErr w:type="gramStart"/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>интернет-портале</w:t>
      </w:r>
      <w:proofErr w:type="gramEnd"/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 xml:space="preserve"> правовой информации</w:t>
      </w:r>
      <w:r w:rsidR="00DF2086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 xml:space="preserve"> (www.pravo.gov.ru) и официальном сайте Ре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EA2C8D" w:rsidRPr="00E51F7F">
        <w:rPr>
          <w:rFonts w:ascii="Times New Roman" w:eastAsia="Times New Roman" w:hAnsi="Times New Roman" w:cs="Times New Roman"/>
          <w:sz w:val="28"/>
          <w:szCs w:val="28"/>
        </w:rPr>
        <w:t>публики Тыва в информационно-телекоммуникационной сети «Интернет».</w:t>
      </w:r>
    </w:p>
    <w:p w14:paraId="7B4DDF6C" w14:textId="412469A9" w:rsidR="00EA2C8D" w:rsidRPr="00E51F7F" w:rsidRDefault="00EA2C8D" w:rsidP="00DF2086">
      <w:pPr>
        <w:widowControl w:val="0"/>
        <w:autoSpaceDE w:val="0"/>
        <w:autoSpaceDN w:val="0"/>
        <w:adjustRightInd w:val="0"/>
        <w:spacing w:after="0" w:line="360" w:lineRule="atLeast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14:paraId="6400D5DF" w14:textId="63DFF9D7" w:rsidR="00395104" w:rsidRPr="00395104" w:rsidRDefault="00395104" w:rsidP="00395104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Заместитель Председателя </w:t>
      </w:r>
    </w:p>
    <w:p w14:paraId="758137D4" w14:textId="67300007" w:rsidR="00EA2C8D" w:rsidRPr="00E51F7F" w:rsidRDefault="00395104" w:rsidP="00395104">
      <w:pPr>
        <w:widowControl w:val="0"/>
        <w:autoSpaceDE w:val="0"/>
        <w:autoSpaceDN w:val="0"/>
        <w:adjustRightInd w:val="0"/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1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Тыва                                                           О. </w:t>
      </w:r>
      <w:proofErr w:type="spellStart"/>
      <w:r w:rsidRPr="00395104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Сарыглар</w:t>
      </w:r>
      <w:proofErr w:type="spellEnd"/>
    </w:p>
    <w:sectPr w:rsidR="00EA2C8D" w:rsidRPr="00E51F7F" w:rsidSect="008205E6">
      <w:headerReference w:type="default" r:id="rId8"/>
      <w:headerReference w:type="first" r:id="rId9"/>
      <w:pgSz w:w="11900" w:h="16840"/>
      <w:pgMar w:top="1134" w:right="567" w:bottom="1134" w:left="1701" w:header="680" w:footer="6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385CC4" w14:textId="77777777" w:rsidR="00AE28F7" w:rsidRDefault="00AE28F7">
      <w:pPr>
        <w:spacing w:after="0" w:line="240" w:lineRule="auto"/>
      </w:pPr>
      <w:r>
        <w:separator/>
      </w:r>
    </w:p>
  </w:endnote>
  <w:endnote w:type="continuationSeparator" w:id="0">
    <w:p w14:paraId="108ED99D" w14:textId="77777777" w:rsidR="00AE28F7" w:rsidRDefault="00AE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A4AEE" w14:textId="77777777" w:rsidR="00AE28F7" w:rsidRDefault="00AE28F7">
      <w:pPr>
        <w:spacing w:after="0" w:line="240" w:lineRule="auto"/>
      </w:pPr>
      <w:r>
        <w:separator/>
      </w:r>
    </w:p>
  </w:footnote>
  <w:footnote w:type="continuationSeparator" w:id="0">
    <w:p w14:paraId="7426C4EA" w14:textId="77777777" w:rsidR="00AE28F7" w:rsidRDefault="00AE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A9039" w14:textId="5003DDFF" w:rsidR="00632117" w:rsidRPr="00BE6600" w:rsidRDefault="009224B7">
    <w:pPr>
      <w:pStyle w:val="a3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8611E" wp14:editId="60472272">
              <wp:simplePos x="0" y="0"/>
              <wp:positionH relativeFrom="column">
                <wp:posOffset>3301365</wp:posOffset>
              </wp:positionH>
              <wp:positionV relativeFrom="paragraph">
                <wp:posOffset>-203200</wp:posOffset>
              </wp:positionV>
              <wp:extent cx="2540000" cy="127000"/>
              <wp:effectExtent l="0" t="0" r="0" b="6350"/>
              <wp:wrapNone/>
              <wp:docPr id="5" name="AryanReg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40000" cy="12700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accen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 cap="flat" cmpd="sng" algn="ctr">
                            <a:solidFill>
                              <a:schemeClr val="accent1">
                                <a:shade val="50000"/>
                              </a:schemeClr>
                            </a:solidFill>
                            <a:prstDash val="solid"/>
                            <a:miter lim="800000"/>
                          </a14:hiddenLine>
                        </a:ext>
                      </a:ex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83EDD1" w14:textId="2401601C" w:rsidR="009224B7" w:rsidRPr="009224B7" w:rsidRDefault="009224B7" w:rsidP="009224B7">
                          <w:pPr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620200099/30780(4)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AryanRegN" o:spid="_x0000_s1027" style="position:absolute;left:0;text-align:left;margin-left:259.95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" filled="f" fillcolor="#4472c4 [3204]" stroked="f" strokecolor="#1f3763 [1604]" strokeweight="1pt">
              <v:textbox inset="0,0,0,0">
                <w:txbxContent>
                  <w:p w14:paraId="0083EDD1" w14:textId="2401601C" w:rsidR="009224B7" w:rsidRPr="009224B7" w:rsidRDefault="009224B7" w:rsidP="009224B7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620200099/30780(4)</w:t>
                    </w:r>
                  </w:p>
                </w:txbxContent>
              </v:textbox>
            </v:rect>
          </w:pict>
        </mc:Fallback>
      </mc:AlternateContent>
    </w:r>
    <w:r w:rsidR="00DE2737" w:rsidRPr="00BE6600">
      <w:rPr>
        <w:rFonts w:ascii="Times New Roman" w:hAnsi="Times New Roman"/>
        <w:sz w:val="24"/>
      </w:rPr>
      <w:fldChar w:fldCharType="begin"/>
    </w:r>
    <w:r w:rsidR="00DE2737" w:rsidRPr="00BE6600">
      <w:rPr>
        <w:rFonts w:ascii="Times New Roman" w:hAnsi="Times New Roman"/>
        <w:sz w:val="24"/>
      </w:rPr>
      <w:instrText>PAGE   \* MERGEFORMAT</w:instrText>
    </w:r>
    <w:r w:rsidR="00DE2737" w:rsidRPr="00BE660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 w:rsidR="00DE2737" w:rsidRPr="00BE6600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CF4CF" w14:textId="67BCD754" w:rsidR="008205E6" w:rsidRDefault="008205E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B7B80"/>
    <w:multiLevelType w:val="hybridMultilevel"/>
    <w:tmpl w:val="E90AC7CA"/>
    <w:lvl w:ilvl="0" w:tplc="7206AB8E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B5846DB"/>
    <w:multiLevelType w:val="hybridMultilevel"/>
    <w:tmpl w:val="45C27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975"/>
    <w:multiLevelType w:val="hybridMultilevel"/>
    <w:tmpl w:val="ABF44424"/>
    <w:lvl w:ilvl="0" w:tplc="9F66BD6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386737"/>
    <w:multiLevelType w:val="hybridMultilevel"/>
    <w:tmpl w:val="5A7A8236"/>
    <w:lvl w:ilvl="0" w:tplc="2F66B38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AB85BD7"/>
    <w:multiLevelType w:val="hybridMultilevel"/>
    <w:tmpl w:val="D38E894A"/>
    <w:lvl w:ilvl="0" w:tplc="6396EB8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9E3FDA"/>
    <w:multiLevelType w:val="hybridMultilevel"/>
    <w:tmpl w:val="4D8E8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fe7a3f50-4cfb-44c8-bef0-abb9e075a0ee"/>
  </w:docVars>
  <w:rsids>
    <w:rsidRoot w:val="00F3589F"/>
    <w:rsid w:val="000625FE"/>
    <w:rsid w:val="00071F37"/>
    <w:rsid w:val="00073A21"/>
    <w:rsid w:val="000B36A8"/>
    <w:rsid w:val="001129C9"/>
    <w:rsid w:val="00173BD4"/>
    <w:rsid w:val="00211E0E"/>
    <w:rsid w:val="00213023"/>
    <w:rsid w:val="00314FD8"/>
    <w:rsid w:val="00317B59"/>
    <w:rsid w:val="00343B88"/>
    <w:rsid w:val="00356942"/>
    <w:rsid w:val="00395104"/>
    <w:rsid w:val="003A537F"/>
    <w:rsid w:val="004005BF"/>
    <w:rsid w:val="00403DE9"/>
    <w:rsid w:val="0043274E"/>
    <w:rsid w:val="00460512"/>
    <w:rsid w:val="00463569"/>
    <w:rsid w:val="004C00AD"/>
    <w:rsid w:val="00506438"/>
    <w:rsid w:val="00511288"/>
    <w:rsid w:val="005711D0"/>
    <w:rsid w:val="00617B53"/>
    <w:rsid w:val="00620315"/>
    <w:rsid w:val="00683D63"/>
    <w:rsid w:val="008158D5"/>
    <w:rsid w:val="008205E6"/>
    <w:rsid w:val="008B4FE4"/>
    <w:rsid w:val="009224B7"/>
    <w:rsid w:val="0095735B"/>
    <w:rsid w:val="009827B8"/>
    <w:rsid w:val="00A60D61"/>
    <w:rsid w:val="00A8714D"/>
    <w:rsid w:val="00A922D0"/>
    <w:rsid w:val="00AB5EEB"/>
    <w:rsid w:val="00AC56D6"/>
    <w:rsid w:val="00AE28F7"/>
    <w:rsid w:val="00BA7F16"/>
    <w:rsid w:val="00C0111D"/>
    <w:rsid w:val="00C51A64"/>
    <w:rsid w:val="00C74E03"/>
    <w:rsid w:val="00CA33C3"/>
    <w:rsid w:val="00CD4A29"/>
    <w:rsid w:val="00DE2737"/>
    <w:rsid w:val="00DE59EE"/>
    <w:rsid w:val="00DF2086"/>
    <w:rsid w:val="00E07B12"/>
    <w:rsid w:val="00E51F7F"/>
    <w:rsid w:val="00EA2C8D"/>
    <w:rsid w:val="00F06726"/>
    <w:rsid w:val="00F173EA"/>
    <w:rsid w:val="00F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E132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8D"/>
  </w:style>
  <w:style w:type="paragraph" w:customStyle="1" w:styleId="ConsPlusNormal">
    <w:name w:val="ConsPlusNormal"/>
    <w:rsid w:val="00EA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2C8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2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5E6"/>
  </w:style>
  <w:style w:type="paragraph" w:styleId="a8">
    <w:name w:val="Balloon Text"/>
    <w:basedOn w:val="a"/>
    <w:link w:val="a9"/>
    <w:uiPriority w:val="99"/>
    <w:semiHidden/>
    <w:unhideWhenUsed/>
    <w:rsid w:val="0092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C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2C8D"/>
  </w:style>
  <w:style w:type="paragraph" w:customStyle="1" w:styleId="ConsPlusNormal">
    <w:name w:val="ConsPlusNormal"/>
    <w:rsid w:val="00EA2C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A2C8D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8205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205E6"/>
  </w:style>
  <w:style w:type="paragraph" w:styleId="a8">
    <w:name w:val="Balloon Text"/>
    <w:basedOn w:val="a"/>
    <w:link w:val="a9"/>
    <w:uiPriority w:val="99"/>
    <w:semiHidden/>
    <w:unhideWhenUsed/>
    <w:rsid w:val="009224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224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Грецких О.П.</cp:lastModifiedBy>
  <cp:revision>2</cp:revision>
  <cp:lastPrinted>2025-04-24T04:21:00Z</cp:lastPrinted>
  <dcterms:created xsi:type="dcterms:W3CDTF">2025-04-24T04:21:00Z</dcterms:created>
  <dcterms:modified xsi:type="dcterms:W3CDTF">2025-04-24T04:21:00Z</dcterms:modified>
</cp:coreProperties>
</file>