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2D9" w:rsidRDefault="004002D9" w:rsidP="004002D9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6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2D9" w:rsidRPr="004002D9" w:rsidRDefault="004002D9" w:rsidP="004002D9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620200099/30765(9)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64.95pt;margin-top:-38.7pt;width:200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K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L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" filled="f" stroked="f">
                <v:textbox inset="0,0,0,0">
                  <w:txbxContent>
                    <w:p w:rsidR="004002D9" w:rsidRPr="004002D9" w:rsidRDefault="004002D9" w:rsidP="004002D9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620200099/30765(9)</w:t>
                      </w:r>
                    </w:p>
                  </w:txbxContent>
                </v:textbox>
              </v:rect>
            </w:pict>
          </mc:Fallback>
        </mc:AlternateContent>
      </w:r>
    </w:p>
    <w:p w:rsidR="004002D9" w:rsidRDefault="004002D9" w:rsidP="004002D9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4002D9" w:rsidRPr="004002D9" w:rsidRDefault="004002D9" w:rsidP="004002D9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4002D9" w:rsidRPr="004002D9" w:rsidRDefault="004002D9" w:rsidP="004002D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4002D9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4002D9">
        <w:rPr>
          <w:rFonts w:ascii="Times New Roman" w:eastAsia="Calibri" w:hAnsi="Times New Roman" w:cs="Times New Roman"/>
          <w:sz w:val="36"/>
          <w:szCs w:val="36"/>
        </w:rPr>
        <w:br/>
      </w:r>
      <w:r w:rsidRPr="004002D9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4002D9" w:rsidRPr="004002D9" w:rsidRDefault="004002D9" w:rsidP="004002D9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002D9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4002D9">
        <w:rPr>
          <w:rFonts w:ascii="Times New Roman" w:eastAsia="Calibri" w:hAnsi="Times New Roman" w:cs="Times New Roman"/>
          <w:sz w:val="36"/>
          <w:szCs w:val="36"/>
        </w:rPr>
        <w:br/>
      </w:r>
      <w:r w:rsidRPr="004002D9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1E6CC3" w:rsidRDefault="001E6CC3" w:rsidP="00892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6CC3" w:rsidRDefault="00070435" w:rsidP="000704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 апреля 2025 г. № 167</w:t>
      </w:r>
    </w:p>
    <w:p w:rsidR="00070435" w:rsidRDefault="00070435" w:rsidP="000704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1E6CC3" w:rsidRDefault="001E6CC3" w:rsidP="00892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4EE1" w:rsidRPr="001E6CC3" w:rsidRDefault="002A764B" w:rsidP="00892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CC3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</w:t>
      </w:r>
      <w:r w:rsidR="009D177C" w:rsidRPr="001E6CC3">
        <w:rPr>
          <w:rFonts w:ascii="Times New Roman" w:hAnsi="Times New Roman" w:cs="Times New Roman"/>
          <w:b/>
          <w:sz w:val="28"/>
          <w:szCs w:val="28"/>
        </w:rPr>
        <w:t>проведения</w:t>
      </w:r>
    </w:p>
    <w:p w:rsidR="00E94EE1" w:rsidRPr="001E6CC3" w:rsidRDefault="009D177C" w:rsidP="00892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CC3">
        <w:rPr>
          <w:rFonts w:ascii="Times New Roman" w:hAnsi="Times New Roman" w:cs="Times New Roman"/>
          <w:b/>
          <w:sz w:val="28"/>
          <w:szCs w:val="28"/>
        </w:rPr>
        <w:t xml:space="preserve">предварительного анализа </w:t>
      </w:r>
      <w:r w:rsidR="002A764B" w:rsidRPr="001E6CC3">
        <w:rPr>
          <w:rFonts w:ascii="Times New Roman" w:hAnsi="Times New Roman" w:cs="Times New Roman"/>
          <w:b/>
          <w:sz w:val="28"/>
          <w:szCs w:val="28"/>
        </w:rPr>
        <w:t>инвестиционных</w:t>
      </w:r>
    </w:p>
    <w:p w:rsidR="00E94EE1" w:rsidRPr="001E6CC3" w:rsidRDefault="002A764B" w:rsidP="00892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CC3">
        <w:rPr>
          <w:rFonts w:ascii="Times New Roman" w:hAnsi="Times New Roman" w:cs="Times New Roman"/>
          <w:b/>
          <w:sz w:val="28"/>
          <w:szCs w:val="28"/>
        </w:rPr>
        <w:t>проектов по созданию модульных некапитальных</w:t>
      </w:r>
    </w:p>
    <w:p w:rsidR="00E94EE1" w:rsidRPr="001E6CC3" w:rsidRDefault="002A764B" w:rsidP="00892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CC3">
        <w:rPr>
          <w:rFonts w:ascii="Times New Roman" w:hAnsi="Times New Roman" w:cs="Times New Roman"/>
          <w:b/>
          <w:sz w:val="28"/>
          <w:szCs w:val="28"/>
        </w:rPr>
        <w:t>средств размещения</w:t>
      </w:r>
      <w:r w:rsidR="001C4BE6" w:rsidRPr="001E6CC3">
        <w:rPr>
          <w:rFonts w:ascii="Times New Roman" w:hAnsi="Times New Roman" w:cs="Times New Roman"/>
          <w:b/>
          <w:sz w:val="28"/>
          <w:szCs w:val="28"/>
        </w:rPr>
        <w:t>, подлежащих реализации</w:t>
      </w:r>
      <w:r w:rsidR="001E6CC3" w:rsidRPr="001E6CC3">
        <w:rPr>
          <w:rFonts w:ascii="Times New Roman" w:hAnsi="Times New Roman" w:cs="Times New Roman"/>
          <w:b/>
          <w:sz w:val="28"/>
          <w:szCs w:val="28"/>
        </w:rPr>
        <w:t xml:space="preserve"> на</w:t>
      </w:r>
    </w:p>
    <w:p w:rsidR="002A764B" w:rsidRPr="001E6CC3" w:rsidRDefault="001C4BE6" w:rsidP="00892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CC3">
        <w:rPr>
          <w:rFonts w:ascii="Times New Roman" w:hAnsi="Times New Roman" w:cs="Times New Roman"/>
          <w:b/>
          <w:sz w:val="28"/>
          <w:szCs w:val="28"/>
        </w:rPr>
        <w:t>территории Республики Тыва</w:t>
      </w:r>
      <w:r w:rsidR="00E521AC" w:rsidRPr="001E6C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CC3">
        <w:rPr>
          <w:rFonts w:ascii="Times New Roman" w:hAnsi="Times New Roman" w:cs="Times New Roman"/>
          <w:b/>
          <w:sz w:val="28"/>
          <w:szCs w:val="28"/>
        </w:rPr>
        <w:t>в 2025-2027 годах</w:t>
      </w:r>
    </w:p>
    <w:p w:rsidR="009D177C" w:rsidRPr="001E6CC3" w:rsidRDefault="009D177C" w:rsidP="00892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177C" w:rsidRPr="001E6CC3" w:rsidRDefault="009D177C" w:rsidP="00892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177C" w:rsidRPr="001E6CC3" w:rsidRDefault="00E521AC" w:rsidP="008923E2">
      <w:pPr>
        <w:pStyle w:val="afa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CC3">
        <w:rPr>
          <w:rFonts w:ascii="Times New Roman" w:hAnsi="Times New Roman" w:cs="Times New Roman"/>
          <w:sz w:val="28"/>
          <w:szCs w:val="28"/>
        </w:rPr>
        <w:t>На основании</w:t>
      </w:r>
      <w:r w:rsidR="001F4B49" w:rsidRPr="001E6CC3">
        <w:rPr>
          <w:rFonts w:ascii="Times New Roman" w:hAnsi="Times New Roman" w:cs="Times New Roman"/>
          <w:sz w:val="28"/>
          <w:szCs w:val="28"/>
        </w:rPr>
        <w:t xml:space="preserve"> </w:t>
      </w:r>
      <w:r w:rsidRPr="001E6CC3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Российской Федерации от </w:t>
      </w:r>
      <w:r w:rsidR="001E6CC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E6CC3">
        <w:rPr>
          <w:rFonts w:ascii="Times New Roman" w:hAnsi="Times New Roman" w:cs="Times New Roman"/>
          <w:sz w:val="28"/>
          <w:szCs w:val="28"/>
        </w:rPr>
        <w:t xml:space="preserve">9 апреля 2025 г. № 473 «О внесении изменений в постановление Правительства Российской Федерации от 24 декабря 2021 г. № 2439» </w:t>
      </w:r>
      <w:r w:rsidR="009D177C" w:rsidRPr="001E6CC3">
        <w:rPr>
          <w:rFonts w:ascii="Times New Roman" w:hAnsi="Times New Roman" w:cs="Times New Roman"/>
          <w:sz w:val="28"/>
          <w:szCs w:val="28"/>
        </w:rPr>
        <w:t>Правительство Респу</w:t>
      </w:r>
      <w:r w:rsidR="009D177C" w:rsidRPr="001E6CC3">
        <w:rPr>
          <w:rFonts w:ascii="Times New Roman" w:hAnsi="Times New Roman" w:cs="Times New Roman"/>
          <w:sz w:val="28"/>
          <w:szCs w:val="28"/>
        </w:rPr>
        <w:t>б</w:t>
      </w:r>
      <w:r w:rsidR="009D177C" w:rsidRPr="001E6CC3">
        <w:rPr>
          <w:rFonts w:ascii="Times New Roman" w:hAnsi="Times New Roman" w:cs="Times New Roman"/>
          <w:sz w:val="28"/>
          <w:szCs w:val="28"/>
        </w:rPr>
        <w:t>лики Тыва ПОСТАНОВЛЯЕТ:</w:t>
      </w:r>
    </w:p>
    <w:p w:rsidR="00E94EE1" w:rsidRPr="001E6CC3" w:rsidRDefault="00E94EE1" w:rsidP="008923E2">
      <w:pPr>
        <w:pStyle w:val="afa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08A" w:rsidRPr="001E6CC3" w:rsidRDefault="003721B3" w:rsidP="008923E2">
      <w:pPr>
        <w:pStyle w:val="afa"/>
        <w:numPr>
          <w:ilvl w:val="0"/>
          <w:numId w:val="14"/>
        </w:numPr>
        <w:tabs>
          <w:tab w:val="left" w:pos="1134"/>
        </w:tabs>
        <w:spacing w:line="360" w:lineRule="atLeast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6CC3">
        <w:rPr>
          <w:rFonts w:ascii="Times New Roman" w:hAnsi="Times New Roman" w:cs="Times New Roman"/>
          <w:sz w:val="28"/>
          <w:szCs w:val="28"/>
        </w:rPr>
        <w:t>Утвердить прилагаемый Порядок проведения предварительного анал</w:t>
      </w:r>
      <w:r w:rsidRPr="001E6CC3">
        <w:rPr>
          <w:rFonts w:ascii="Times New Roman" w:hAnsi="Times New Roman" w:cs="Times New Roman"/>
          <w:sz w:val="28"/>
          <w:szCs w:val="28"/>
        </w:rPr>
        <w:t>и</w:t>
      </w:r>
      <w:r w:rsidRPr="001E6CC3">
        <w:rPr>
          <w:rFonts w:ascii="Times New Roman" w:hAnsi="Times New Roman" w:cs="Times New Roman"/>
          <w:sz w:val="28"/>
          <w:szCs w:val="28"/>
        </w:rPr>
        <w:t>за инвестиционных проектов по созданию модульных н</w:t>
      </w:r>
      <w:r w:rsidR="0070578C" w:rsidRPr="001E6CC3">
        <w:rPr>
          <w:rFonts w:ascii="Times New Roman" w:hAnsi="Times New Roman" w:cs="Times New Roman"/>
          <w:sz w:val="28"/>
          <w:szCs w:val="28"/>
        </w:rPr>
        <w:t>екапитальных средств размещения, подлежащих реализации на территории Республики Тыва в 2025-2027 годах.</w:t>
      </w:r>
    </w:p>
    <w:p w:rsidR="004002D9" w:rsidRPr="004002D9" w:rsidRDefault="008A2FED" w:rsidP="008923E2">
      <w:pPr>
        <w:pStyle w:val="afa"/>
        <w:numPr>
          <w:ilvl w:val="0"/>
          <w:numId w:val="14"/>
        </w:numPr>
        <w:tabs>
          <w:tab w:val="left" w:pos="1134"/>
        </w:tabs>
        <w:spacing w:line="360" w:lineRule="atLeast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6CC3">
        <w:rPr>
          <w:rFonts w:ascii="Times New Roman" w:hAnsi="Times New Roman" w:cs="Times New Roman"/>
          <w:sz w:val="28"/>
          <w:szCs w:val="28"/>
        </w:rPr>
        <w:t xml:space="preserve">Определить Агентство по туризму Республики Тыва </w:t>
      </w:r>
      <w:r w:rsidR="00E521AC" w:rsidRPr="001E6CC3">
        <w:rPr>
          <w:rFonts w:ascii="Times New Roman" w:hAnsi="Times New Roman" w:cs="Times New Roman"/>
          <w:sz w:val="28"/>
          <w:szCs w:val="28"/>
        </w:rPr>
        <w:t xml:space="preserve">исполнительным </w:t>
      </w:r>
      <w:r w:rsidRPr="001E6CC3">
        <w:rPr>
          <w:rFonts w:ascii="Times New Roman" w:hAnsi="Times New Roman" w:cs="Times New Roman"/>
          <w:sz w:val="28"/>
          <w:szCs w:val="28"/>
        </w:rPr>
        <w:t>органом Республики Тыва, на который возлага</w:t>
      </w:r>
      <w:r w:rsidR="009D4D3C">
        <w:rPr>
          <w:rFonts w:ascii="Times New Roman" w:hAnsi="Times New Roman" w:cs="Times New Roman"/>
          <w:sz w:val="28"/>
          <w:szCs w:val="28"/>
        </w:rPr>
        <w:t>ю</w:t>
      </w:r>
      <w:r w:rsidRPr="001E6CC3">
        <w:rPr>
          <w:rFonts w:ascii="Times New Roman" w:hAnsi="Times New Roman" w:cs="Times New Roman"/>
          <w:sz w:val="28"/>
          <w:szCs w:val="28"/>
        </w:rPr>
        <w:t xml:space="preserve">тся функции и ответственность за проведение </w:t>
      </w:r>
      <w:r w:rsidR="00713842" w:rsidRPr="001E6CC3">
        <w:rPr>
          <w:rFonts w:ascii="Times New Roman" w:hAnsi="Times New Roman" w:cs="Times New Roman"/>
          <w:sz w:val="28"/>
          <w:szCs w:val="28"/>
        </w:rPr>
        <w:t>предварительного анализа</w:t>
      </w:r>
      <w:r w:rsidR="00FE6913" w:rsidRPr="001E6CC3">
        <w:rPr>
          <w:rFonts w:ascii="Times New Roman" w:hAnsi="Times New Roman" w:cs="Times New Roman"/>
          <w:sz w:val="28"/>
          <w:szCs w:val="28"/>
        </w:rPr>
        <w:t xml:space="preserve"> </w:t>
      </w:r>
      <w:r w:rsidRPr="001E6CC3">
        <w:rPr>
          <w:rFonts w:ascii="Times New Roman" w:hAnsi="Times New Roman" w:cs="Times New Roman"/>
          <w:sz w:val="28"/>
          <w:szCs w:val="28"/>
        </w:rPr>
        <w:t>инвестиционных проектов по созд</w:t>
      </w:r>
      <w:r w:rsidRPr="001E6CC3">
        <w:rPr>
          <w:rFonts w:ascii="Times New Roman" w:hAnsi="Times New Roman" w:cs="Times New Roman"/>
          <w:sz w:val="28"/>
          <w:szCs w:val="28"/>
        </w:rPr>
        <w:t>а</w:t>
      </w:r>
      <w:r w:rsidRPr="001E6CC3">
        <w:rPr>
          <w:rFonts w:ascii="Times New Roman" w:hAnsi="Times New Roman" w:cs="Times New Roman"/>
          <w:sz w:val="28"/>
          <w:szCs w:val="28"/>
        </w:rPr>
        <w:t>нию модульных некапитальных средств размещения в целях включения в зая</w:t>
      </w:r>
      <w:r w:rsidRPr="001E6CC3">
        <w:rPr>
          <w:rFonts w:ascii="Times New Roman" w:hAnsi="Times New Roman" w:cs="Times New Roman"/>
          <w:sz w:val="28"/>
          <w:szCs w:val="28"/>
        </w:rPr>
        <w:t>в</w:t>
      </w:r>
      <w:r w:rsidRPr="001E6CC3">
        <w:rPr>
          <w:rFonts w:ascii="Times New Roman" w:hAnsi="Times New Roman" w:cs="Times New Roman"/>
          <w:sz w:val="28"/>
          <w:szCs w:val="28"/>
        </w:rPr>
        <w:t xml:space="preserve">ку Республики Тыва на получение в 2025-2027 годах субсидий из федерального  бюджета бюджетам Российской Федерации на финансовое обеспечение и (или) возмещение </w:t>
      </w:r>
      <w:r w:rsidR="004002D9">
        <w:rPr>
          <w:rFonts w:ascii="Times New Roman" w:hAnsi="Times New Roman" w:cs="Times New Roman"/>
          <w:sz w:val="28"/>
          <w:szCs w:val="28"/>
        </w:rPr>
        <w:t xml:space="preserve">  </w:t>
      </w:r>
      <w:r w:rsidRPr="001E6CC3">
        <w:rPr>
          <w:rFonts w:ascii="Times New Roman" w:hAnsi="Times New Roman" w:cs="Times New Roman"/>
          <w:sz w:val="28"/>
          <w:szCs w:val="28"/>
        </w:rPr>
        <w:t xml:space="preserve">затрат </w:t>
      </w:r>
      <w:r w:rsidR="004002D9">
        <w:rPr>
          <w:rFonts w:ascii="Times New Roman" w:hAnsi="Times New Roman" w:cs="Times New Roman"/>
          <w:sz w:val="28"/>
          <w:szCs w:val="28"/>
        </w:rPr>
        <w:t xml:space="preserve"> </w:t>
      </w:r>
      <w:r w:rsidRPr="001E6CC3">
        <w:rPr>
          <w:rFonts w:ascii="Times New Roman" w:hAnsi="Times New Roman" w:cs="Times New Roman"/>
          <w:sz w:val="28"/>
          <w:szCs w:val="28"/>
        </w:rPr>
        <w:t xml:space="preserve">на </w:t>
      </w:r>
      <w:r w:rsidR="004002D9">
        <w:rPr>
          <w:rFonts w:ascii="Times New Roman" w:hAnsi="Times New Roman" w:cs="Times New Roman"/>
          <w:sz w:val="28"/>
          <w:szCs w:val="28"/>
        </w:rPr>
        <w:t xml:space="preserve"> </w:t>
      </w:r>
      <w:r w:rsidRPr="001E6CC3">
        <w:rPr>
          <w:rFonts w:ascii="Times New Roman" w:hAnsi="Times New Roman" w:cs="Times New Roman"/>
          <w:sz w:val="28"/>
          <w:szCs w:val="28"/>
        </w:rPr>
        <w:t>приобретение</w:t>
      </w:r>
      <w:r w:rsidR="004002D9">
        <w:rPr>
          <w:rFonts w:ascii="Times New Roman" w:hAnsi="Times New Roman" w:cs="Times New Roman"/>
          <w:sz w:val="28"/>
          <w:szCs w:val="28"/>
        </w:rPr>
        <w:t xml:space="preserve">  </w:t>
      </w:r>
      <w:r w:rsidRPr="001E6CC3">
        <w:rPr>
          <w:rFonts w:ascii="Times New Roman" w:hAnsi="Times New Roman" w:cs="Times New Roman"/>
          <w:sz w:val="28"/>
          <w:szCs w:val="28"/>
        </w:rPr>
        <w:t xml:space="preserve"> и </w:t>
      </w:r>
      <w:r w:rsidR="004002D9">
        <w:rPr>
          <w:rFonts w:ascii="Times New Roman" w:hAnsi="Times New Roman" w:cs="Times New Roman"/>
          <w:sz w:val="28"/>
          <w:szCs w:val="28"/>
        </w:rPr>
        <w:t xml:space="preserve">  </w:t>
      </w:r>
      <w:r w:rsidRPr="001E6CC3">
        <w:rPr>
          <w:rFonts w:ascii="Times New Roman" w:hAnsi="Times New Roman" w:cs="Times New Roman"/>
          <w:sz w:val="28"/>
          <w:szCs w:val="28"/>
        </w:rPr>
        <w:t>мон</w:t>
      </w:r>
      <w:r w:rsidR="004002D9">
        <w:rPr>
          <w:rFonts w:ascii="Times New Roman" w:hAnsi="Times New Roman" w:cs="Times New Roman"/>
          <w:sz w:val="28"/>
          <w:szCs w:val="28"/>
        </w:rPr>
        <w:t>таж   модульных  некапитальных</w:t>
      </w:r>
    </w:p>
    <w:p w:rsidR="004002D9" w:rsidRDefault="004002D9" w:rsidP="004002D9">
      <w:pPr>
        <w:pStyle w:val="afa"/>
        <w:tabs>
          <w:tab w:val="left" w:pos="1134"/>
        </w:tabs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002D9" w:rsidRDefault="004002D9" w:rsidP="004002D9">
      <w:pPr>
        <w:pStyle w:val="afa"/>
        <w:tabs>
          <w:tab w:val="left" w:pos="1134"/>
        </w:tabs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B308A" w:rsidRPr="001E6CC3" w:rsidRDefault="008A2FED" w:rsidP="004002D9">
      <w:pPr>
        <w:pStyle w:val="afa"/>
        <w:tabs>
          <w:tab w:val="left" w:pos="1134"/>
        </w:tabs>
        <w:spacing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6CC3">
        <w:rPr>
          <w:rFonts w:ascii="Times New Roman" w:hAnsi="Times New Roman" w:cs="Times New Roman"/>
          <w:sz w:val="28"/>
          <w:szCs w:val="28"/>
        </w:rPr>
        <w:lastRenderedPageBreak/>
        <w:t>средств раз</w:t>
      </w:r>
      <w:r w:rsidR="0037331A" w:rsidRPr="001E6CC3">
        <w:rPr>
          <w:rFonts w:ascii="Times New Roman" w:hAnsi="Times New Roman" w:cs="Times New Roman"/>
          <w:sz w:val="28"/>
          <w:szCs w:val="28"/>
        </w:rPr>
        <w:t xml:space="preserve">мещения при реализации проектов, и принятие решений об отказе в участии </w:t>
      </w:r>
      <w:r w:rsidR="001E6F50" w:rsidRPr="001E6CC3">
        <w:rPr>
          <w:rFonts w:ascii="Times New Roman" w:hAnsi="Times New Roman" w:cs="Times New Roman"/>
          <w:sz w:val="28"/>
          <w:szCs w:val="28"/>
        </w:rPr>
        <w:t xml:space="preserve">инвестиционного проекта </w:t>
      </w:r>
      <w:r w:rsidR="0037331A" w:rsidRPr="001E6CC3">
        <w:rPr>
          <w:rFonts w:ascii="Times New Roman" w:hAnsi="Times New Roman" w:cs="Times New Roman"/>
          <w:sz w:val="28"/>
          <w:szCs w:val="28"/>
        </w:rPr>
        <w:t>в конкурсном отборе.</w:t>
      </w:r>
    </w:p>
    <w:p w:rsidR="007B308A" w:rsidRPr="001E6CC3" w:rsidRDefault="00E24302" w:rsidP="008923E2">
      <w:pPr>
        <w:pStyle w:val="afa"/>
        <w:numPr>
          <w:ilvl w:val="0"/>
          <w:numId w:val="14"/>
        </w:numPr>
        <w:tabs>
          <w:tab w:val="left" w:pos="1134"/>
        </w:tabs>
        <w:spacing w:line="360" w:lineRule="atLeast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6CC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</w:t>
      </w:r>
      <w:r w:rsidR="00713842" w:rsidRPr="001E6CC3">
        <w:rPr>
          <w:rFonts w:ascii="Times New Roman" w:hAnsi="Times New Roman" w:cs="Times New Roman"/>
          <w:sz w:val="28"/>
          <w:szCs w:val="28"/>
        </w:rPr>
        <w:t>опубликования</w:t>
      </w:r>
      <w:r w:rsidRPr="001E6CC3">
        <w:rPr>
          <w:rFonts w:ascii="Times New Roman" w:hAnsi="Times New Roman" w:cs="Times New Roman"/>
          <w:sz w:val="28"/>
          <w:szCs w:val="28"/>
        </w:rPr>
        <w:t>.</w:t>
      </w:r>
    </w:p>
    <w:p w:rsidR="009D177C" w:rsidRPr="001E6CC3" w:rsidRDefault="001F4B49" w:rsidP="008923E2">
      <w:pPr>
        <w:pStyle w:val="afa"/>
        <w:numPr>
          <w:ilvl w:val="0"/>
          <w:numId w:val="14"/>
        </w:numPr>
        <w:tabs>
          <w:tab w:val="left" w:pos="1134"/>
        </w:tabs>
        <w:spacing w:line="360" w:lineRule="atLeast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6CC3">
        <w:rPr>
          <w:rFonts w:ascii="Times New Roman" w:hAnsi="Times New Roman" w:cs="Times New Roman"/>
          <w:sz w:val="28"/>
          <w:szCs w:val="28"/>
        </w:rPr>
        <w:t>Разместить настоящее постановление на «Официальном интернет-портале правовой информации» (www.pravo.gov.ru) и официальном сайте Ре</w:t>
      </w:r>
      <w:r w:rsidRPr="001E6CC3">
        <w:rPr>
          <w:rFonts w:ascii="Times New Roman" w:hAnsi="Times New Roman" w:cs="Times New Roman"/>
          <w:sz w:val="28"/>
          <w:szCs w:val="28"/>
        </w:rPr>
        <w:t>с</w:t>
      </w:r>
      <w:r w:rsidRPr="001E6CC3"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:rsidR="001F4B49" w:rsidRPr="001E6CC3" w:rsidRDefault="001F4B49" w:rsidP="008923E2">
      <w:pPr>
        <w:pStyle w:val="afa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7B308A" w:rsidRDefault="007B308A" w:rsidP="008923E2">
      <w:pPr>
        <w:pStyle w:val="ConsPlusNormal"/>
        <w:spacing w:line="360" w:lineRule="atLeast"/>
        <w:rPr>
          <w:sz w:val="28"/>
          <w:szCs w:val="28"/>
        </w:rPr>
      </w:pPr>
    </w:p>
    <w:p w:rsidR="001E6CC3" w:rsidRPr="001E6CC3" w:rsidRDefault="001E6CC3" w:rsidP="008923E2">
      <w:pPr>
        <w:pStyle w:val="ConsPlusNormal"/>
        <w:spacing w:line="360" w:lineRule="atLeast"/>
        <w:rPr>
          <w:sz w:val="28"/>
          <w:szCs w:val="28"/>
        </w:rPr>
      </w:pPr>
    </w:p>
    <w:p w:rsidR="0070578C" w:rsidRPr="001E6CC3" w:rsidRDefault="00324053" w:rsidP="008923E2">
      <w:pPr>
        <w:pStyle w:val="ConsPlusNormal"/>
        <w:spacing w:line="360" w:lineRule="atLeast"/>
        <w:rPr>
          <w:sz w:val="28"/>
          <w:szCs w:val="28"/>
        </w:rPr>
      </w:pPr>
      <w:r w:rsidRPr="001E6CC3">
        <w:rPr>
          <w:sz w:val="28"/>
          <w:szCs w:val="28"/>
        </w:rPr>
        <w:t>Глава Республики Тыва</w:t>
      </w:r>
      <w:r w:rsidRPr="001E6CC3">
        <w:rPr>
          <w:sz w:val="28"/>
          <w:szCs w:val="28"/>
        </w:rPr>
        <w:tab/>
      </w:r>
      <w:r w:rsidR="00A946A1" w:rsidRPr="001E6CC3">
        <w:rPr>
          <w:sz w:val="28"/>
          <w:szCs w:val="28"/>
        </w:rPr>
        <w:tab/>
      </w:r>
      <w:r w:rsidR="00A946A1" w:rsidRPr="001E6CC3">
        <w:rPr>
          <w:sz w:val="28"/>
          <w:szCs w:val="28"/>
        </w:rPr>
        <w:tab/>
      </w:r>
      <w:r w:rsidR="00A946A1" w:rsidRPr="001E6CC3">
        <w:rPr>
          <w:sz w:val="28"/>
          <w:szCs w:val="28"/>
        </w:rPr>
        <w:tab/>
      </w:r>
      <w:r w:rsidR="00A946A1" w:rsidRPr="001E6CC3">
        <w:rPr>
          <w:sz w:val="28"/>
          <w:szCs w:val="28"/>
        </w:rPr>
        <w:tab/>
      </w:r>
      <w:r w:rsidR="00FE6913" w:rsidRPr="001E6CC3">
        <w:rPr>
          <w:sz w:val="28"/>
          <w:szCs w:val="28"/>
        </w:rPr>
        <w:t xml:space="preserve">                    </w:t>
      </w:r>
      <w:r w:rsidR="00E521AC" w:rsidRPr="001E6CC3">
        <w:rPr>
          <w:sz w:val="28"/>
          <w:szCs w:val="28"/>
        </w:rPr>
        <w:t xml:space="preserve">       </w:t>
      </w:r>
      <w:r w:rsidR="001F4B49" w:rsidRPr="001E6CC3">
        <w:rPr>
          <w:sz w:val="28"/>
          <w:szCs w:val="28"/>
        </w:rPr>
        <w:t>В.</w:t>
      </w:r>
      <w:r w:rsidR="00E521AC" w:rsidRPr="001E6CC3">
        <w:rPr>
          <w:sz w:val="28"/>
          <w:szCs w:val="28"/>
        </w:rPr>
        <w:t xml:space="preserve"> </w:t>
      </w:r>
      <w:r w:rsidR="00A946A1" w:rsidRPr="001E6CC3">
        <w:rPr>
          <w:sz w:val="28"/>
          <w:szCs w:val="28"/>
        </w:rPr>
        <w:t>Ховалыг</w:t>
      </w:r>
    </w:p>
    <w:p w:rsidR="00DA02DC" w:rsidRDefault="00DA02DC" w:rsidP="008923E2">
      <w:pPr>
        <w:autoSpaceDE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DA02DC" w:rsidSect="001E6CC3">
          <w:headerReference w:type="default" r:id="rId9"/>
          <w:pgSz w:w="11907" w:h="16840" w:code="9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</w:p>
    <w:p w:rsidR="00DA02DC" w:rsidRPr="00DA02DC" w:rsidRDefault="00DA02DC" w:rsidP="008923E2">
      <w:pPr>
        <w:autoSpaceDE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Утвержден</w:t>
      </w:r>
    </w:p>
    <w:p w:rsidR="00DA02DC" w:rsidRPr="00DA02DC" w:rsidRDefault="00DA02DC" w:rsidP="008923E2">
      <w:pPr>
        <w:autoSpaceDE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постановлением Правительства</w:t>
      </w:r>
    </w:p>
    <w:p w:rsidR="00DA02DC" w:rsidRPr="00DA02DC" w:rsidRDefault="00DA02DC" w:rsidP="008923E2">
      <w:pPr>
        <w:autoSpaceDE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Республики Тыва</w:t>
      </w:r>
    </w:p>
    <w:p w:rsidR="00070435" w:rsidRDefault="00070435" w:rsidP="00070435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 17 апреля 2025 г. № 167</w:t>
      </w:r>
    </w:p>
    <w:p w:rsidR="00DA02DC" w:rsidRPr="00DA02DC" w:rsidRDefault="00DA02DC" w:rsidP="008923E2">
      <w:pPr>
        <w:tabs>
          <w:tab w:val="num" w:pos="0"/>
        </w:tabs>
        <w:autoSpaceDE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DA02DC" w:rsidRPr="00DA02DC" w:rsidRDefault="00DA02DC" w:rsidP="008923E2">
      <w:pPr>
        <w:tabs>
          <w:tab w:val="num" w:pos="0"/>
        </w:tabs>
        <w:autoSpaceDE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DA02DC" w:rsidRPr="00DA02DC" w:rsidRDefault="00DA02DC" w:rsidP="008923E2">
      <w:pPr>
        <w:tabs>
          <w:tab w:val="num" w:pos="0"/>
        </w:tabs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A02D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DA02D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DA02D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DA02D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DA02D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DA02D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DA02D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К</w:t>
      </w:r>
      <w:r w:rsidRPr="00DA02D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br/>
        <w:t>проведения предварительного анализа</w:t>
      </w:r>
    </w:p>
    <w:p w:rsidR="00DA02DC" w:rsidRPr="00DA02DC" w:rsidRDefault="00DA02DC" w:rsidP="008923E2">
      <w:pPr>
        <w:tabs>
          <w:tab w:val="num" w:pos="0"/>
        </w:tabs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A02D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инвестиционных проектов по созданию</w:t>
      </w:r>
    </w:p>
    <w:p w:rsidR="00DA02DC" w:rsidRPr="00DA02DC" w:rsidRDefault="00DA02DC" w:rsidP="008923E2">
      <w:pPr>
        <w:tabs>
          <w:tab w:val="num" w:pos="0"/>
        </w:tabs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A02D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модульных некапитальных средств размещения,</w:t>
      </w:r>
    </w:p>
    <w:p w:rsidR="00DA02DC" w:rsidRPr="00DA02DC" w:rsidRDefault="00DA02DC" w:rsidP="008923E2">
      <w:pPr>
        <w:tabs>
          <w:tab w:val="num" w:pos="0"/>
        </w:tabs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A02D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подлежащих реализации на территории</w:t>
      </w:r>
    </w:p>
    <w:p w:rsidR="00DA02DC" w:rsidRPr="00DA02DC" w:rsidRDefault="00DA02DC" w:rsidP="008923E2">
      <w:pPr>
        <w:tabs>
          <w:tab w:val="num" w:pos="0"/>
        </w:tabs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A02D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Республики Тыва в 2025-2027 годах</w:t>
      </w:r>
    </w:p>
    <w:p w:rsidR="00DA02DC" w:rsidRPr="00DA02DC" w:rsidRDefault="00DA02DC" w:rsidP="008923E2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A02DC" w:rsidRPr="00DA02DC" w:rsidRDefault="00FC2ACB" w:rsidP="008923E2">
      <w:pPr>
        <w:tabs>
          <w:tab w:val="num" w:pos="0"/>
        </w:tabs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bookmarkStart w:id="1" w:name="sub_1001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</w:t>
      </w:r>
      <w:r w:rsidR="00DA02DC" w:rsidRPr="00DA02D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 Общие положения</w:t>
      </w:r>
    </w:p>
    <w:bookmarkEnd w:id="1"/>
    <w:p w:rsidR="00DA02DC" w:rsidRPr="00DA02DC" w:rsidRDefault="00DA02DC" w:rsidP="008923E2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A02DC" w:rsidRPr="00DA02DC" w:rsidRDefault="00DA02DC" w:rsidP="008923E2">
      <w:pPr>
        <w:tabs>
          <w:tab w:val="left" w:pos="10199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2" w:name="sub_11"/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1.1. Настоящий Порядок определяет процедуру проведения предвар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тельного анализа инвестиционных проектов по созданию модульных некап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тальных средств размещения (далее – предварительный анализ инвестицио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ных проектов). </w:t>
      </w:r>
    </w:p>
    <w:p w:rsidR="00DA02DC" w:rsidRPr="00DA02DC" w:rsidRDefault="00DA02DC" w:rsidP="008923E2">
      <w:pPr>
        <w:tabs>
          <w:tab w:val="left" w:pos="10199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1.2. Предварительный анализ инвестиционных проектов проводится в ц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лях формирования и направления в Министерство экономического развития Российской Федерации заявки Республики Тыва на участие в конкурсном отб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ре субъектов Российской Федерации, на территории которых предполагается реализация инвестиционных проектов, в порядке, установленном госуда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р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ственной программой Российской Федерации «Развитие туризма», утвержде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ной постановлением Правительства Российской Федерации от 24 декабря </w:t>
      </w:r>
      <w:r w:rsidR="008923E2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2021 г. № 2439 (далее – конкурсный отбор). </w:t>
      </w:r>
    </w:p>
    <w:bookmarkEnd w:id="2"/>
    <w:p w:rsidR="00DA02DC" w:rsidRPr="00DA02DC" w:rsidRDefault="00DA02DC" w:rsidP="008923E2">
      <w:pPr>
        <w:tabs>
          <w:tab w:val="left" w:pos="1276"/>
          <w:tab w:val="left" w:pos="184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bookmarkStart w:id="3" w:name="sub_13"/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3. Организатором проведения предварительного анализа инвестицио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ных проектов является Агентство по туризму Республики Тыва (далее – Агентство). </w:t>
      </w:r>
    </w:p>
    <w:p w:rsidR="00DA02DC" w:rsidRPr="00DA02DC" w:rsidRDefault="00DA02DC" w:rsidP="008923E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4" w:name="sub_14"/>
      <w:bookmarkEnd w:id="3"/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1.4. Участниками предварительного анализа инвестиционных проектов являются юридические </w:t>
      </w:r>
      <w:bookmarkEnd w:id="4"/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лица или индивидуальные предприниматели, предст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вившие заявку на участие в предварительном анализе инвестиционных прое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тов по созданию модульных некапитальных средств размещения, подлежащих реализации на территории Республики Тыва в 2025</w:t>
      </w:r>
      <w:r w:rsidR="008923E2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2027 годах, по форме с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гласно приложению № 1 к настоящему Порядку (далее – претендент). </w:t>
      </w:r>
    </w:p>
    <w:p w:rsidR="00DA02DC" w:rsidRPr="00DA02DC" w:rsidRDefault="00DA02DC" w:rsidP="008923E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A02DC" w:rsidRPr="00DA02DC" w:rsidRDefault="00FC2ACB" w:rsidP="008923E2">
      <w:pPr>
        <w:tabs>
          <w:tab w:val="num" w:pos="0"/>
        </w:tabs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bookmarkStart w:id="5" w:name="sub_1002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</w:t>
      </w:r>
      <w:r w:rsidR="00DA02DC" w:rsidRPr="00DA02D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 Условия прохождения предварительного анализа</w:t>
      </w:r>
      <w:r w:rsidR="008923E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DA02DC" w:rsidRPr="00DA02DC" w:rsidRDefault="00DA02DC" w:rsidP="008923E2">
      <w:pPr>
        <w:tabs>
          <w:tab w:val="num" w:pos="0"/>
        </w:tabs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A02D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инвестиционных проектов и требования, предъявляемые</w:t>
      </w:r>
    </w:p>
    <w:p w:rsidR="00DA02DC" w:rsidRPr="00DA02DC" w:rsidRDefault="00DA02DC" w:rsidP="008923E2">
      <w:pPr>
        <w:tabs>
          <w:tab w:val="num" w:pos="0"/>
        </w:tabs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A02D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к инвестиционным проектам при проведении </w:t>
      </w:r>
    </w:p>
    <w:p w:rsidR="00DA02DC" w:rsidRPr="00DA02DC" w:rsidRDefault="00DA02DC" w:rsidP="008923E2">
      <w:pPr>
        <w:tabs>
          <w:tab w:val="num" w:pos="0"/>
        </w:tabs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A02D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предварительного анализа инвестиционных проектов</w:t>
      </w:r>
    </w:p>
    <w:bookmarkEnd w:id="5"/>
    <w:p w:rsidR="00DA02DC" w:rsidRPr="00DA02DC" w:rsidRDefault="00DA02DC" w:rsidP="008923E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A02DC" w:rsidRPr="00DA02DC" w:rsidRDefault="00DA02DC" w:rsidP="008923E2">
      <w:pPr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2.1. Условиями прохождения предварительного анализа инвестиционных проектов являются:</w:t>
      </w:r>
    </w:p>
    <w:p w:rsidR="00DA02DC" w:rsidRPr="00DA02DC" w:rsidRDefault="00DA02DC" w:rsidP="008923E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претендент зарегистрирован и осуществляет деятельность на территории Республики Тыва;</w:t>
      </w:r>
    </w:p>
    <w:p w:rsidR="00DA02DC" w:rsidRPr="00DA02DC" w:rsidRDefault="00DA02DC" w:rsidP="008923E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наличие у претендента на праве собственности, аренды или на ином з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конном основании земельного участка, на котором планируется реализация з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явленного инвестиционного проекта (далее – земельный участок);</w:t>
      </w:r>
    </w:p>
    <w:p w:rsidR="00DA02DC" w:rsidRPr="00DA02DC" w:rsidRDefault="00DA02DC" w:rsidP="008923E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проект освоения лесов (при аренде земельного участка в составе лесного фонда);</w:t>
      </w:r>
    </w:p>
    <w:p w:rsidR="00DA02DC" w:rsidRPr="00DA02DC" w:rsidRDefault="00DA02DC" w:rsidP="008923E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соответствие вида разрешенного использования и категории земельного участка целевому назначению средств субсидии на поддержку инвестиционных проектов по созданию модульных некапитальных средств размещения;</w:t>
      </w:r>
    </w:p>
    <w:p w:rsidR="00DA02DC" w:rsidRPr="00DA02DC" w:rsidRDefault="00DA02DC" w:rsidP="008923E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наличие обязательства претендента по временному размещению и обе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печению временного проживания туристов в создаваемых за счет средств су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б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сидии модульных некапитальных средствах размещения не менее трех лет с д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ты ввода в эксплуатацию номеров в модульных некапитальных средствах ра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з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мещения;</w:t>
      </w:r>
    </w:p>
    <w:p w:rsidR="00DA02DC" w:rsidRPr="00DA02DC" w:rsidRDefault="00DA02DC" w:rsidP="008923E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размер запрашиваемой субсидии из </w:t>
      </w:r>
      <w:r w:rsidR="00FC2ACB">
        <w:rPr>
          <w:rFonts w:ascii="Times New Roman" w:eastAsia="Times New Roman" w:hAnsi="Times New Roman" w:cs="Times New Roman"/>
          <w:sz w:val="28"/>
          <w:szCs w:val="28"/>
          <w:lang w:eastAsia="zh-CN"/>
        </w:rPr>
        <w:t>республиканского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бюджета Респу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б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лики Тыва на поддержку инвестиционного проекта по созданию модульных н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капитальных средств размещения составляет не более 1,5 млн. рублей на один номер (одна или несколько жилых комнат и (или) помещений, соединенных между собой и оснащенных индивидуальным туалетом, умывальником и д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шем) в модульном некапитальном средстве размещения и не более 50 проце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тов стоимости инвестиционного проекта;</w:t>
      </w:r>
    </w:p>
    <w:p w:rsidR="00DA02DC" w:rsidRPr="00DA02DC" w:rsidRDefault="00DA02DC" w:rsidP="008923E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наличие обязательства претендента по софинансированию расходов, св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занных с реализацией заявленного инвестиционного проекта, за счет собстве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ных внебюджетных средств в объеме, указанном в заявке, но не менее 50 пр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центов стоимости инвестиционного проекта. Софинансирование инвестицио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ного проекта направлено на приобретение и монтаж модульных некапитальных средств размещения, обеспечение их электроснабжением, водоснабжением и водоотведением, а также благоустройство прилегающих к ним территорий.</w:t>
      </w:r>
    </w:p>
    <w:p w:rsidR="00DA02DC" w:rsidRPr="00DA02DC" w:rsidRDefault="00DA02DC" w:rsidP="008923E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2.2. Требования, предъявляемые к инвестиционным проектам при пров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дении предварительного анализа инвестиционных проектов:</w:t>
      </w:r>
    </w:p>
    <w:p w:rsidR="00DA02DC" w:rsidRPr="00DA02DC" w:rsidRDefault="00DA02DC" w:rsidP="008923E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а) инвестиционный проект предусматривает приобретение и монтаж м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дульных некапитальных средств размещения, соответствующих следующим параметрам:</w:t>
      </w:r>
    </w:p>
    <w:p w:rsidR="00DA02DC" w:rsidRPr="00DA02DC" w:rsidRDefault="00DA02DC" w:rsidP="008923E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модульное некапитальное средство размещения – быстровозводимая ко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струкция заводского или незаводского производства, в том числе контейнерн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го типа, за исключением глэмпингов и кемпингов, оборудованная для кругл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годичного комфортного и безопасного пребывания туристов и оснащенная и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дивидуальным туалетом, умывальником, душем, а также имеющая общую площадь не менее 15 кв. м, без учета площади санузла;</w:t>
      </w:r>
    </w:p>
    <w:p w:rsidR="00DA02DC" w:rsidRPr="00DA02DC" w:rsidRDefault="00DA02DC" w:rsidP="008923E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заводское или незаводское производство модульных некапитальных средств размещения подтверждается представлением утвержденной сметы и (или) коммерческим предложением производителя модульных некапитальных средств размещения.</w:t>
      </w:r>
    </w:p>
    <w:p w:rsidR="00DA02DC" w:rsidRPr="00DA02DC" w:rsidRDefault="00DA02DC" w:rsidP="008923E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Коммерческое предложение оформляется на официальном бланке прои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з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водителя и должно содержать информацию о технических характеристиках, площади номеров, стоимости за один номер, планировке номеров и иных п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мещений, об используемых материалах и оборудовании, визуальное отображ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ние дизайна модульных некапитальных средств размещения;</w:t>
      </w:r>
    </w:p>
    <w:p w:rsidR="00DA02DC" w:rsidRPr="00DA02DC" w:rsidRDefault="00DA02DC" w:rsidP="008923E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б) претендент гарантирует обеспечение соблюдения требований технич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ской и противопожарной безопасности в создаваемых модульных некапитал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ь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ных средствах размещения (включая материалы), соответствующих требован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ям Федерального закона от 22 июля 2008 г. № 123-ФЗ «Технический регламент о требованиях пожарной безопасности»; </w:t>
      </w:r>
    </w:p>
    <w:p w:rsidR="00DA02DC" w:rsidRPr="00DA02DC" w:rsidRDefault="00DA02DC" w:rsidP="008923E2">
      <w:pPr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в) инвестиционным проектом предусмотрено создание в модульных н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капитальных средствах размещения номеров для маломобильных групп нас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ления (3 </w:t>
      </w:r>
      <w:r w:rsidR="00FC2ACB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процента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общего количества номеров, но не менее 1 номера), соо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т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ветствующих требованиям ГОСТ Р 55699-2013 «Доступные средства размещ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ния для туристов с ограниченными физическими возможностями. Общие тр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бования» и СП 59.13330.2020 «СНиП 35-01-2001. Доступность зданий и соор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жений для маломобильных групп населения».</w:t>
      </w:r>
    </w:p>
    <w:p w:rsidR="00DA02DC" w:rsidRPr="00DA02DC" w:rsidRDefault="00DA02DC" w:rsidP="008923E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A02DC" w:rsidRPr="00DA02DC" w:rsidRDefault="00FE6D8B" w:rsidP="008923E2">
      <w:pPr>
        <w:tabs>
          <w:tab w:val="num" w:pos="0"/>
        </w:tabs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bookmarkStart w:id="6" w:name="sub_1003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3</w:t>
      </w:r>
      <w:r w:rsidR="00DA02DC" w:rsidRPr="00DA02D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. Организация проведения предварительного </w:t>
      </w:r>
    </w:p>
    <w:p w:rsidR="00DA02DC" w:rsidRPr="00DA02DC" w:rsidRDefault="00DA02DC" w:rsidP="008923E2">
      <w:pPr>
        <w:tabs>
          <w:tab w:val="num" w:pos="0"/>
        </w:tabs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A02D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анализа инвестиционных проектов</w:t>
      </w:r>
    </w:p>
    <w:bookmarkEnd w:id="6"/>
    <w:p w:rsidR="00DA02DC" w:rsidRPr="00DA02DC" w:rsidRDefault="00DA02DC" w:rsidP="008923E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A02DC" w:rsidRPr="00DA02DC" w:rsidRDefault="00DA02DC" w:rsidP="008923E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7" w:name="sub_31"/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3.1. Агентство в сроки, указанные в извещении о проведении конкурсного отбора, опубликованном на официальном сайте Министерства экономического развития Российской Федерации в информационно-телекоммуникационной с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ти «Интернет» (далее </w:t>
      </w:r>
      <w:r w:rsidR="008923E2">
        <w:rPr>
          <w:rFonts w:ascii="Times New Roman" w:eastAsia="Times New Roman" w:hAnsi="Times New Roman" w:cs="Times New Roman"/>
          <w:sz w:val="28"/>
          <w:szCs w:val="28"/>
          <w:lang w:eastAsia="zh-CN"/>
        </w:rPr>
        <w:t>–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извещение), размещает объявление о возможности направления инвестиционных проектов, содержащее следующие сведения: </w:t>
      </w:r>
    </w:p>
    <w:bookmarkEnd w:id="7"/>
    <w:p w:rsidR="00DA02DC" w:rsidRPr="00DA02DC" w:rsidRDefault="00DA02DC" w:rsidP="008923E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наименование, местонахождение, почтовый адрес, контактные данные (телефон, адрес электронной почты) Агентства;</w:t>
      </w:r>
    </w:p>
    <w:p w:rsidR="00DA02DC" w:rsidRPr="00DA02DC" w:rsidRDefault="00DA02DC" w:rsidP="008923E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дат</w:t>
      </w:r>
      <w:r w:rsidR="00FE6D8B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время начала и окончания приема заявок;</w:t>
      </w:r>
    </w:p>
    <w:p w:rsidR="00DA02DC" w:rsidRPr="00DA02DC" w:rsidRDefault="00DA02DC" w:rsidP="008923E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перечень документов, прилагаемых к заявке, согласно приложению № 2 к настоящему Порядку (далее – заявочная документация); </w:t>
      </w:r>
    </w:p>
    <w:p w:rsidR="00DA02DC" w:rsidRPr="00DA02DC" w:rsidRDefault="00DA02DC" w:rsidP="008923E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условия прохождения предварительного анализа инвестиционных прое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тов и требования, предъявляемые к инвестиционным проектам при проведении предварительного анализа инвестиционных проектов;</w:t>
      </w:r>
    </w:p>
    <w:p w:rsidR="00DA02DC" w:rsidRPr="00DA02DC" w:rsidRDefault="00DA02DC" w:rsidP="008923E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порядок подачи заявки, требования к форме и содержанию заявки;</w:t>
      </w:r>
    </w:p>
    <w:p w:rsidR="00DA02DC" w:rsidRPr="00DA02DC" w:rsidRDefault="00DA02DC" w:rsidP="008923E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порядок отзыва заявки;</w:t>
      </w:r>
    </w:p>
    <w:p w:rsidR="00DA02DC" w:rsidRPr="00DA02DC" w:rsidRDefault="00DA02DC" w:rsidP="008923E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порядок рассмотрения и оценки заявочной документации;</w:t>
      </w:r>
    </w:p>
    <w:p w:rsidR="00DA02DC" w:rsidRPr="00DA02DC" w:rsidRDefault="00DA02DC" w:rsidP="008923E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срок подведения итогов предварительного </w:t>
      </w:r>
      <w:bookmarkStart w:id="8" w:name="sub_32"/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анализа инвестиционных пр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ектов.</w:t>
      </w:r>
    </w:p>
    <w:p w:rsidR="00DA02DC" w:rsidRPr="00DA02DC" w:rsidRDefault="00DA02DC" w:rsidP="008923E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3.2. Претенденты в срок, указанный в объявлении Агентства, подают в Агентство заявочную документацию.</w:t>
      </w:r>
    </w:p>
    <w:p w:rsidR="00DA02DC" w:rsidRPr="00DA02DC" w:rsidRDefault="00DA02DC" w:rsidP="008923E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Кроме документов, указанных в приложении № 2 к настоящему Порядку, претенденты также представляют:</w:t>
      </w:r>
    </w:p>
    <w:p w:rsidR="00DA02DC" w:rsidRPr="00DA02DC" w:rsidRDefault="00DA02DC" w:rsidP="008923E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копии документов, подтверждающих право на земельные участки, на к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торых будут реализовываться инвестиционные проекты;</w:t>
      </w:r>
    </w:p>
    <w:p w:rsidR="00DA02DC" w:rsidRPr="00DA02DC" w:rsidRDefault="00DA02DC" w:rsidP="008923E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выписку из Единого государственного реестра юридических лиц (выпи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ку из Единого государственного реестра индивидуальных предпринимателей);</w:t>
      </w:r>
    </w:p>
    <w:p w:rsidR="00DA02DC" w:rsidRPr="00DA02DC" w:rsidRDefault="00DA02DC" w:rsidP="008923E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выписку из Единого государственного реестра недвижимости на земел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ь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ный участок, на котором будет реализовываться инвестиционный проект;</w:t>
      </w:r>
    </w:p>
    <w:p w:rsidR="00DA02DC" w:rsidRPr="00DA02DC" w:rsidRDefault="00DA02DC" w:rsidP="008923E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сведения, подтверждающие, что претендент не находится в процессе ли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видации, в отношении его не введена процедура банкротства и деятельность претендента не приостановлена в порядке, предусмотренном законодател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ь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ством Российской Федерации.</w:t>
      </w:r>
    </w:p>
    <w:bookmarkEnd w:id="8"/>
    <w:p w:rsidR="00DA02DC" w:rsidRPr="00DA02DC" w:rsidRDefault="00DA02DC" w:rsidP="008923E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Заявочная документация представляется претендентом в Агентство с с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проводительным письмом, подписанным руководителем претендента (с зав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ренной в установленном законодательством Российской Федерации порядке копией решения о назначении или об избрании руководителя претендента) или индивидуальным предпринимателем. </w:t>
      </w:r>
    </w:p>
    <w:p w:rsidR="00DA02DC" w:rsidRPr="00DA02DC" w:rsidRDefault="00DA02DC" w:rsidP="008923E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Заявочная документация должна быть пронумерована, прошита и скре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лена подписью руководителя и печатью претендента (при наличии), а также с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держать реестр представленных документов с указанием соответствующих им номеров страниц. Кроме того, заявочная документация должна быть предста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лена также в электронном виде (электронные образы в виде файлов в формате </w:t>
      </w:r>
      <w:r w:rsidRPr="00DA02DC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PDF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или аналогичном электронном формате).</w:t>
      </w:r>
    </w:p>
    <w:p w:rsidR="00DA02DC" w:rsidRPr="00DA02DC" w:rsidRDefault="00DA02DC" w:rsidP="008923E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Претендентом гарантируется достоверность представляемой в заявочной документации информации.</w:t>
      </w:r>
    </w:p>
    <w:p w:rsidR="00DA02DC" w:rsidRPr="00DA02DC" w:rsidRDefault="00DA02DC" w:rsidP="008923E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Претендент вправе отозвать заявочную документацию до истечения срока приема заявок, направив в Агентство письменное уведомление, содержащее текст «Отзыв заявочной документации на участие в предварительном анализе инвестиционных проектов» (далее – уведомление об отзыве).</w:t>
      </w:r>
    </w:p>
    <w:p w:rsidR="00DA02DC" w:rsidRPr="00DA02DC" w:rsidRDefault="00DA02DC" w:rsidP="008923E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Заявочная документация считается отозванной со дня получения Агентством уведомления об отзыве. Агентство возвращает заявочную докуме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тацию в срок не позднее пяти рабочих дней со дня поступления уведомления об отзыве.</w:t>
      </w:r>
    </w:p>
    <w:p w:rsidR="00DA02DC" w:rsidRPr="00DA02DC" w:rsidRDefault="00DA02DC" w:rsidP="008923E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Внесение изменений в заявочную документацию допускается путем о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т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зыва ранее поданной заявочной документации и направления новой заявочной документации в пределах срока, установленного абзацем первым пункта 3.1 настоящего Порядка.</w:t>
      </w:r>
    </w:p>
    <w:p w:rsidR="00DA02DC" w:rsidRPr="00DA02DC" w:rsidRDefault="00DA02DC" w:rsidP="008923E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9" w:name="sub_33"/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3.3. Заявочная документация в течение одного рабочего дня со дня ее п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ступления в Агентство регистрируется в порядке поступления в журнале вх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дящей корреспонденции.</w:t>
      </w:r>
    </w:p>
    <w:p w:rsidR="00DA02DC" w:rsidRPr="00DA02DC" w:rsidRDefault="00DA02DC" w:rsidP="008923E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10" w:name="sub_35"/>
      <w:bookmarkEnd w:id="9"/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3.4. Рассмотрение представленной претендентом заявочной документации осуществляется Агентством в течение пяти рабочих дней со дня регистрации.</w:t>
      </w:r>
    </w:p>
    <w:p w:rsidR="00DA02DC" w:rsidRPr="00DA02DC" w:rsidRDefault="00DA02DC" w:rsidP="008923E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Задачей Агентства является проведение предварительного анализа инв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стиционных проектов </w:t>
      </w:r>
      <w:bookmarkEnd w:id="10"/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для последующего их направления в Министерство эк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номического развития Российской Федерации. </w:t>
      </w:r>
    </w:p>
    <w:p w:rsidR="00DA02DC" w:rsidRPr="00DA02DC" w:rsidRDefault="00DA02DC" w:rsidP="008923E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проведении предварительного анализа инвестиционных проектов Агентство: </w:t>
      </w:r>
    </w:p>
    <w:p w:rsidR="00DA02DC" w:rsidRPr="00DA02DC" w:rsidRDefault="00DA02DC" w:rsidP="008923E2">
      <w:pPr>
        <w:pStyle w:val="a4"/>
        <w:numPr>
          <w:ilvl w:val="0"/>
          <w:numId w:val="13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осуществляет оценку инвестиционных проектов претендентов, пре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д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ставленных на предварительный анализ инвестиционных проектов, и готовит 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заключение по итогам рассмотрения заявочной документации (далее – закл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ю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чение).</w:t>
      </w:r>
    </w:p>
    <w:p w:rsidR="00DA02DC" w:rsidRPr="00DA02DC" w:rsidRDefault="00DA02DC" w:rsidP="008923E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Заключение должно содержать вывод о соответствии либо несоотве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т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ствии инвестиционного проекта претендента требованиям, предъявляемым к инвестиционным проектам при проведении предварительного анализа инвест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ционных проектов, предусмотренным пунктом 2.2 настоящего Порядка, а также требованиям законодательства Российской Федерации, в том числе в части м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нимальных габаритов и площадей помещений, доступности для маломобил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ь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ных групп населения, материалов строительства, противопожарных и дополн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="00FE6D8B">
        <w:rPr>
          <w:rFonts w:ascii="Times New Roman" w:eastAsia="Times New Roman" w:hAnsi="Times New Roman" w:cs="Times New Roman"/>
          <w:sz w:val="28"/>
          <w:szCs w:val="28"/>
          <w:lang w:eastAsia="zh-CN"/>
        </w:rPr>
        <w:t>тельных требований;</w:t>
      </w:r>
    </w:p>
    <w:p w:rsidR="00DA02DC" w:rsidRPr="00DA02DC" w:rsidRDefault="00DA02DC" w:rsidP="008923E2">
      <w:pPr>
        <w:pStyle w:val="a4"/>
        <w:numPr>
          <w:ilvl w:val="0"/>
          <w:numId w:val="13"/>
        </w:numPr>
        <w:tabs>
          <w:tab w:val="left" w:pos="851"/>
          <w:tab w:val="left" w:pos="993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принимает решение о включении инвестиционного проекта в заявку Республики Тыва на участие в конкурсном отборе либо об отказе в участии и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вестиционного проекта в конкурсном отборе.</w:t>
      </w:r>
    </w:p>
    <w:p w:rsidR="00DA02DC" w:rsidRPr="00DA02DC" w:rsidRDefault="00DA02DC" w:rsidP="008923E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рассмотрении заявочной документации Агентство вправе:</w:t>
      </w:r>
    </w:p>
    <w:p w:rsidR="00DA02DC" w:rsidRPr="00DA02DC" w:rsidRDefault="00DA02DC" w:rsidP="008923E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запрашивать и получать пояснения (разъяснения, комментарии) от пр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тендентов по представленной заявочной документации;</w:t>
      </w:r>
    </w:p>
    <w:p w:rsidR="00DA02DC" w:rsidRPr="00DA02DC" w:rsidRDefault="00DA02DC" w:rsidP="008923E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запрашивать и получать дополнительные сведения, подтверждающие д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стоверность информации, представленной в заявочной документации, в уст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новленном порядке из других источников.</w:t>
      </w:r>
    </w:p>
    <w:p w:rsidR="00DA02DC" w:rsidRPr="00DA02DC" w:rsidRDefault="00DA02DC" w:rsidP="008923E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11" w:name="sub_38"/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3.5. Основаниями для принятия решения об отказе </w:t>
      </w:r>
      <w:bookmarkEnd w:id="11"/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в участии инвестиц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онного проекта в конкурсном отборе являются:</w:t>
      </w:r>
    </w:p>
    <w:p w:rsidR="00DA02DC" w:rsidRPr="00DA02DC" w:rsidRDefault="00DA02DC" w:rsidP="008923E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несоответствие инвестиционного проекта условиям прохождения предв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рительного анализа инвестиционных проектов, предусмотренным пунктом 2.1 настоящего Порядка;</w:t>
      </w:r>
    </w:p>
    <w:p w:rsidR="00DA02DC" w:rsidRPr="00DA02DC" w:rsidRDefault="00DA02DC" w:rsidP="008923E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несоответствие инвестиционного проекта требованиям, предъявляемым к инвестиционным проектам при проведении предварительного анализа инвест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ционных проектов, предусмотренным пунктом 2.2 настоящего Порядка;</w:t>
      </w:r>
    </w:p>
    <w:p w:rsidR="00DA02DC" w:rsidRPr="00DA02DC" w:rsidRDefault="00DA02DC" w:rsidP="008923E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несоответствие заявочной документации требованиям, определенным пунктом 3.2 настоящего Порядка, или непредставление (представление не в полном объеме) указанных документов;</w:t>
      </w:r>
    </w:p>
    <w:p w:rsidR="00DA02DC" w:rsidRPr="00DA02DC" w:rsidRDefault="00DA02DC" w:rsidP="008923E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недостоверность представленной претендентом информации;</w:t>
      </w:r>
    </w:p>
    <w:p w:rsidR="00DA02DC" w:rsidRPr="00DA02DC" w:rsidRDefault="00DA02DC" w:rsidP="008923E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подача претендентом заявки после даты и (или) времени, которые указ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ны в извещении. </w:t>
      </w:r>
    </w:p>
    <w:p w:rsidR="00DA02DC" w:rsidRPr="00DA02DC" w:rsidRDefault="00DA02DC" w:rsidP="008923E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12" w:name="sub_311"/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3.6. О принятом решении о включении инвестиционного проекта в заявку Республики Тыва на участие в конкурсном отборе либо об отказе в участии и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вестиционного проекта в конкурсном отборе претенденты уведомляются в т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чение трех рабочих дней со дня принятия решения.</w:t>
      </w:r>
    </w:p>
    <w:p w:rsidR="00DA02DC" w:rsidRPr="00DA02DC" w:rsidRDefault="00DA02DC" w:rsidP="008923E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3.7. Подготовку заявки Республики Тыва на участие в конкурсном отборе осуществляет Агентство по форме и в сроки, которые установлены Министе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р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ством экономического развития Российской Федерации</w:t>
      </w:r>
      <w:bookmarkStart w:id="13" w:name="sub_312"/>
      <w:bookmarkEnd w:id="12"/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DA02DC" w:rsidRDefault="00DA02DC" w:rsidP="008923E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3.8. Инвестиционные проекты, прошедшие процедуру отбора, направл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Pr="00DA02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ются в Министерство экономического развития Российской Федерации. </w:t>
      </w:r>
    </w:p>
    <w:p w:rsidR="00FE6D8B" w:rsidRDefault="00FE6D8B" w:rsidP="008923E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E6D8B" w:rsidRDefault="00FE6D8B" w:rsidP="008923E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E6D8B" w:rsidRPr="00DA02DC" w:rsidRDefault="00FE6D8B" w:rsidP="00FE6D8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</w:t>
      </w:r>
    </w:p>
    <w:p w:rsidR="008923E2" w:rsidRDefault="008923E2" w:rsidP="008923E2">
      <w:pPr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8923E2" w:rsidSect="0000676F">
          <w:pgSz w:w="11907" w:h="16840" w:code="9"/>
          <w:pgMar w:top="1134" w:right="567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8923E2" w:rsidRDefault="008923E2" w:rsidP="008923E2">
      <w:pPr>
        <w:autoSpaceDE w:val="0"/>
        <w:autoSpaceDN w:val="0"/>
        <w:adjustRightInd w:val="0"/>
        <w:spacing w:after="0" w:line="240" w:lineRule="auto"/>
        <w:ind w:left="3686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4" w:name="sub_1100"/>
      <w:r w:rsidRPr="00892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1</w:t>
      </w:r>
      <w:r w:rsidRPr="00892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к </w:t>
      </w:r>
      <w:hyperlink w:anchor="sub_1000" w:history="1">
        <w:r w:rsidRPr="008923E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Порядку</w:t>
        </w:r>
      </w:hyperlink>
      <w:r w:rsidRPr="00892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проведения предварительного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92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анализа инвестиционных проектов по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92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созданию </w:t>
      </w:r>
    </w:p>
    <w:p w:rsidR="008923E2" w:rsidRDefault="008923E2" w:rsidP="008923E2">
      <w:pPr>
        <w:autoSpaceDE w:val="0"/>
        <w:autoSpaceDN w:val="0"/>
        <w:adjustRightInd w:val="0"/>
        <w:spacing w:after="0" w:line="240" w:lineRule="auto"/>
        <w:ind w:left="3686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2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модульных некапитальных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92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средств размещения, подлежащих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92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92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</w:t>
      </w:r>
    </w:p>
    <w:p w:rsidR="008923E2" w:rsidRPr="008923E2" w:rsidRDefault="008923E2" w:rsidP="008923E2">
      <w:pPr>
        <w:autoSpaceDE w:val="0"/>
        <w:autoSpaceDN w:val="0"/>
        <w:adjustRightInd w:val="0"/>
        <w:spacing w:after="0" w:line="240" w:lineRule="auto"/>
        <w:ind w:left="3686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2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Тыва в 2025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892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2027 годах</w:t>
      </w:r>
    </w:p>
    <w:p w:rsidR="008923E2" w:rsidRDefault="008923E2" w:rsidP="008923E2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463" w:rsidRPr="008923E2" w:rsidRDefault="00493463" w:rsidP="008923E2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3E2" w:rsidRDefault="00FE6D8B" w:rsidP="00FE6D8B">
      <w:pPr>
        <w:autoSpaceDE w:val="0"/>
        <w:autoSpaceDN w:val="0"/>
        <w:adjustRightInd w:val="0"/>
        <w:spacing w:after="0" w:line="240" w:lineRule="auto"/>
        <w:ind w:left="3686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</w:t>
      </w:r>
    </w:p>
    <w:p w:rsidR="00493463" w:rsidRPr="008923E2" w:rsidRDefault="00493463" w:rsidP="00FE6D8B">
      <w:pPr>
        <w:autoSpaceDE w:val="0"/>
        <w:autoSpaceDN w:val="0"/>
        <w:adjustRightInd w:val="0"/>
        <w:spacing w:after="0" w:line="240" w:lineRule="auto"/>
        <w:ind w:left="3686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3E2" w:rsidRPr="008923E2" w:rsidRDefault="008923E2" w:rsidP="008923E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23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 А Я В К А</w:t>
      </w:r>
    </w:p>
    <w:p w:rsidR="008923E2" w:rsidRDefault="008923E2" w:rsidP="008923E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предварительном анализе </w:t>
      </w:r>
    </w:p>
    <w:p w:rsidR="008923E2" w:rsidRDefault="008923E2" w:rsidP="008923E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E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инвестиционных проектов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3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созданию модульных</w:t>
      </w:r>
    </w:p>
    <w:p w:rsidR="008923E2" w:rsidRDefault="008923E2" w:rsidP="008923E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некапитальных средств размещения,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подлежащих </w:t>
      </w:r>
    </w:p>
    <w:p w:rsidR="008923E2" w:rsidRDefault="008923E2" w:rsidP="008923E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на территории Республики Тыва </w:t>
      </w:r>
    </w:p>
    <w:p w:rsidR="008923E2" w:rsidRPr="008923E2" w:rsidRDefault="008923E2" w:rsidP="008923E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E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923E2">
        <w:rPr>
          <w:rFonts w:ascii="Times New Roman" w:eastAsia="Times New Roman" w:hAnsi="Times New Roman" w:cs="Times New Roman"/>
          <w:sz w:val="28"/>
          <w:szCs w:val="28"/>
          <w:lang w:eastAsia="ru-RU"/>
        </w:rPr>
        <w:t>2027 годах</w:t>
      </w:r>
    </w:p>
    <w:p w:rsidR="008923E2" w:rsidRPr="008923E2" w:rsidRDefault="008923E2" w:rsidP="008923E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3E2" w:rsidRPr="008923E2" w:rsidRDefault="008923E2" w:rsidP="008923E2">
      <w:pPr>
        <w:autoSpaceDE w:val="0"/>
        <w:autoSpaceDN w:val="0"/>
        <w:adjustRightInd w:val="0"/>
        <w:spacing w:after="0" w:line="23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рассмотреть вопрос об участии инвестиционного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</w:t>
      </w:r>
      <w:r w:rsidRPr="0089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________________________________________________________________________________________________________________________________________,</w:t>
      </w:r>
    </w:p>
    <w:p w:rsidR="008923E2" w:rsidRPr="008923E2" w:rsidRDefault="008923E2" w:rsidP="008923E2">
      <w:pPr>
        <w:autoSpaceDE w:val="0"/>
        <w:autoSpaceDN w:val="0"/>
        <w:adjustRightInd w:val="0"/>
        <w:spacing w:after="0" w:line="23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923E2">
        <w:rPr>
          <w:rFonts w:ascii="Times New Roman" w:eastAsia="Times New Roman" w:hAnsi="Times New Roman" w:cs="Times New Roman"/>
          <w:sz w:val="24"/>
          <w:szCs w:val="28"/>
          <w:lang w:eastAsia="ru-RU"/>
        </w:rPr>
        <w:t>(наименование инвестиционного проекта)</w:t>
      </w:r>
    </w:p>
    <w:p w:rsidR="008923E2" w:rsidRPr="008923E2" w:rsidRDefault="008923E2" w:rsidP="008923E2">
      <w:pPr>
        <w:autoSpaceDE w:val="0"/>
        <w:autoSpaceDN w:val="0"/>
        <w:adjustRightInd w:val="0"/>
        <w:spacing w:after="0" w:line="23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представленного для предварительного анализа инвестиционных проектов ____________________________________________________________________,</w:t>
      </w:r>
    </w:p>
    <w:p w:rsidR="008923E2" w:rsidRPr="008923E2" w:rsidRDefault="008923E2" w:rsidP="008923E2">
      <w:pPr>
        <w:autoSpaceDE w:val="0"/>
        <w:autoSpaceDN w:val="0"/>
        <w:adjustRightInd w:val="0"/>
        <w:spacing w:after="0" w:line="23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923E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(полное наименование юридического лица или фамилия, имя, отчество </w:t>
      </w:r>
    </w:p>
    <w:p w:rsidR="008923E2" w:rsidRPr="008923E2" w:rsidRDefault="008923E2" w:rsidP="008923E2">
      <w:pPr>
        <w:autoSpaceDE w:val="0"/>
        <w:autoSpaceDN w:val="0"/>
        <w:adjustRightInd w:val="0"/>
        <w:spacing w:after="0" w:line="23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923E2">
        <w:rPr>
          <w:rFonts w:ascii="Times New Roman" w:eastAsia="Times New Roman" w:hAnsi="Times New Roman" w:cs="Times New Roman"/>
          <w:sz w:val="24"/>
          <w:szCs w:val="28"/>
          <w:lang w:eastAsia="ru-RU"/>
        </w:rPr>
        <w:t>(последнее – при наличии) индивидуального предпринимателя)</w:t>
      </w:r>
    </w:p>
    <w:p w:rsidR="008923E2" w:rsidRPr="008923E2" w:rsidRDefault="008923E2" w:rsidP="008923E2">
      <w:pPr>
        <w:autoSpaceDE w:val="0"/>
        <w:autoSpaceDN w:val="0"/>
        <w:adjustRightInd w:val="0"/>
        <w:spacing w:after="0" w:line="23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предварительном анализе инвестиционных проектов по созданию модульных некапитальных средств размещения, подлежащих реализации на территории Республики Тыва в 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923E2">
        <w:rPr>
          <w:rFonts w:ascii="Times New Roman" w:eastAsia="Times New Roman" w:hAnsi="Times New Roman" w:cs="Times New Roman"/>
          <w:sz w:val="28"/>
          <w:szCs w:val="28"/>
          <w:lang w:eastAsia="ru-RU"/>
        </w:rPr>
        <w:t>2027 годах.</w:t>
      </w:r>
    </w:p>
    <w:p w:rsidR="008923E2" w:rsidRPr="008923E2" w:rsidRDefault="008923E2" w:rsidP="008923E2">
      <w:pPr>
        <w:autoSpaceDE w:val="0"/>
        <w:autoSpaceDN w:val="0"/>
        <w:adjustRightInd w:val="0"/>
        <w:spacing w:after="0" w:line="23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Полное и сокращенное (при наличии) наименование организации: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8923E2" w:rsidRPr="008923E2" w:rsidRDefault="008923E2" w:rsidP="008923E2">
      <w:pPr>
        <w:autoSpaceDE w:val="0"/>
        <w:autoSpaceDN w:val="0"/>
        <w:adjustRightInd w:val="0"/>
        <w:spacing w:after="0" w:line="23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8923E2" w:rsidRPr="008923E2" w:rsidRDefault="008923E2" w:rsidP="008923E2">
      <w:pPr>
        <w:autoSpaceDE w:val="0"/>
        <w:autoSpaceDN w:val="0"/>
        <w:adjustRightInd w:val="0"/>
        <w:spacing w:after="0" w:line="23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E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регистрации юридического лица (дата, место и орган рег</w:t>
      </w:r>
      <w:r w:rsidRPr="008923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923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страции): 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8923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</w:p>
    <w:p w:rsidR="008923E2" w:rsidRPr="008923E2" w:rsidRDefault="008923E2" w:rsidP="008923E2">
      <w:pPr>
        <w:autoSpaceDE w:val="0"/>
        <w:autoSpaceDN w:val="0"/>
        <w:adjustRightInd w:val="0"/>
        <w:spacing w:after="0" w:line="23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E2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адрес, почтовый адрес: ______________________________</w:t>
      </w:r>
    </w:p>
    <w:p w:rsidR="008923E2" w:rsidRPr="008923E2" w:rsidRDefault="008923E2" w:rsidP="008923E2">
      <w:pPr>
        <w:autoSpaceDE w:val="0"/>
        <w:autoSpaceDN w:val="0"/>
        <w:adjustRightInd w:val="0"/>
        <w:spacing w:after="0" w:line="23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8923E2" w:rsidRPr="008923E2" w:rsidRDefault="008923E2" w:rsidP="008923E2">
      <w:pPr>
        <w:autoSpaceDE w:val="0"/>
        <w:autoSpaceDN w:val="0"/>
        <w:adjustRightInd w:val="0"/>
        <w:spacing w:after="0" w:line="23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E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адрес: ______________________________________________</w:t>
      </w:r>
    </w:p>
    <w:p w:rsidR="008923E2" w:rsidRPr="008923E2" w:rsidRDefault="008923E2" w:rsidP="008923E2">
      <w:pPr>
        <w:autoSpaceDE w:val="0"/>
        <w:autoSpaceDN w:val="0"/>
        <w:adjustRightInd w:val="0"/>
        <w:spacing w:after="0" w:line="23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8923E2" w:rsidRPr="008923E2" w:rsidRDefault="008923E2" w:rsidP="008923E2">
      <w:pPr>
        <w:autoSpaceDE w:val="0"/>
        <w:autoSpaceDN w:val="0"/>
        <w:adjustRightInd w:val="0"/>
        <w:spacing w:after="0" w:line="23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E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 __________________________________________________</w:t>
      </w:r>
    </w:p>
    <w:p w:rsidR="008923E2" w:rsidRPr="008923E2" w:rsidRDefault="008923E2" w:rsidP="008923E2">
      <w:pPr>
        <w:autoSpaceDE w:val="0"/>
        <w:autoSpaceDN w:val="0"/>
        <w:adjustRightInd w:val="0"/>
        <w:spacing w:after="0" w:line="23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E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__________________________________________________________</w:t>
      </w:r>
    </w:p>
    <w:p w:rsidR="008923E2" w:rsidRPr="008923E2" w:rsidRDefault="008923E2" w:rsidP="008923E2">
      <w:pPr>
        <w:autoSpaceDE w:val="0"/>
        <w:autoSpaceDN w:val="0"/>
        <w:adjustRightInd w:val="0"/>
        <w:spacing w:after="0" w:line="23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E2">
        <w:rPr>
          <w:rFonts w:ascii="Times New Roman" w:eastAsia="Times New Roman" w:hAnsi="Times New Roman" w:cs="Times New Roman"/>
          <w:sz w:val="28"/>
          <w:szCs w:val="28"/>
          <w:lang w:eastAsia="ru-RU"/>
        </w:rPr>
        <w:t>КПП ___________________________________________________________</w:t>
      </w:r>
    </w:p>
    <w:p w:rsidR="008923E2" w:rsidRPr="008923E2" w:rsidRDefault="008923E2" w:rsidP="008923E2">
      <w:pPr>
        <w:autoSpaceDE w:val="0"/>
        <w:autoSpaceDN w:val="0"/>
        <w:adjustRightInd w:val="0"/>
        <w:spacing w:after="0" w:line="23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E2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(ОГРНИП) ________________________________________________</w:t>
      </w:r>
    </w:p>
    <w:p w:rsidR="008923E2" w:rsidRPr="008923E2" w:rsidRDefault="008923E2" w:rsidP="008923E2">
      <w:pPr>
        <w:autoSpaceDE w:val="0"/>
        <w:autoSpaceDN w:val="0"/>
        <w:adjustRightInd w:val="0"/>
        <w:spacing w:after="0" w:line="23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E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Банковские реквизиты: р/с ____________________ в __________________</w:t>
      </w:r>
    </w:p>
    <w:p w:rsidR="008923E2" w:rsidRPr="008923E2" w:rsidRDefault="008923E2" w:rsidP="008923E2">
      <w:pPr>
        <w:autoSpaceDE w:val="0"/>
        <w:autoSpaceDN w:val="0"/>
        <w:adjustRightInd w:val="0"/>
        <w:spacing w:after="0" w:line="23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E2">
        <w:rPr>
          <w:rFonts w:ascii="Times New Roman" w:eastAsia="Times New Roman" w:hAnsi="Times New Roman" w:cs="Times New Roman"/>
          <w:sz w:val="28"/>
          <w:szCs w:val="28"/>
          <w:lang w:eastAsia="ru-RU"/>
        </w:rPr>
        <w:t>к/с _________________________________________________________________</w:t>
      </w:r>
    </w:p>
    <w:p w:rsidR="008923E2" w:rsidRPr="008923E2" w:rsidRDefault="008923E2" w:rsidP="008923E2">
      <w:pPr>
        <w:autoSpaceDE w:val="0"/>
        <w:autoSpaceDN w:val="0"/>
        <w:adjustRightInd w:val="0"/>
        <w:spacing w:after="0" w:line="23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E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 ___________________________________________________________</w:t>
      </w:r>
    </w:p>
    <w:p w:rsidR="008923E2" w:rsidRPr="008923E2" w:rsidRDefault="008923E2" w:rsidP="008923E2">
      <w:pPr>
        <w:autoSpaceDE w:val="0"/>
        <w:autoSpaceDN w:val="0"/>
        <w:adjustRightInd w:val="0"/>
        <w:spacing w:after="0" w:line="23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 _____________________________________________</w:t>
      </w:r>
    </w:p>
    <w:p w:rsidR="008923E2" w:rsidRPr="008923E2" w:rsidRDefault="008923E2" w:rsidP="008923E2">
      <w:pPr>
        <w:autoSpaceDE w:val="0"/>
        <w:autoSpaceDN w:val="0"/>
        <w:adjustRightInd w:val="0"/>
        <w:spacing w:after="0" w:line="23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</w:t>
      </w:r>
      <w:r w:rsidRPr="008923E2">
        <w:rPr>
          <w:rFonts w:ascii="Times New Roman" w:eastAsia="Times New Roman" w:hAnsi="Times New Roman" w:cs="Times New Roman"/>
          <w:sz w:val="24"/>
          <w:szCs w:val="28"/>
          <w:lang w:eastAsia="ru-RU"/>
        </w:rPr>
        <w:t>(номер телефона, адрес электронной почты)</w:t>
      </w:r>
    </w:p>
    <w:p w:rsidR="00493463" w:rsidRDefault="00493463" w:rsidP="008923E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3E2" w:rsidRPr="008923E2" w:rsidRDefault="008923E2" w:rsidP="008923E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Настоящим подтверждаем, что 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8923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8923E2" w:rsidRPr="008923E2" w:rsidRDefault="008923E2" w:rsidP="008923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8923E2" w:rsidRPr="008923E2" w:rsidRDefault="008923E2" w:rsidP="008923E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(полное наименование организации, фамилия, имя, отчество </w:t>
      </w:r>
    </w:p>
    <w:p w:rsidR="008923E2" w:rsidRPr="008923E2" w:rsidRDefault="008923E2" w:rsidP="008923E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3E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(последнее – при наличии) индивидуального предпринимателя)</w:t>
      </w:r>
    </w:p>
    <w:p w:rsidR="008923E2" w:rsidRPr="008923E2" w:rsidRDefault="008923E2" w:rsidP="008923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находится в процессе ликвидации, в отношении нее не введена процедура банкротства, деятельность не приостановлена в порядке, предусмотренном з</w:t>
      </w:r>
      <w:r w:rsidRPr="008923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23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конодательством Российской Федерации.</w:t>
      </w:r>
    </w:p>
    <w:p w:rsidR="008923E2" w:rsidRPr="008923E2" w:rsidRDefault="008923E2" w:rsidP="008923E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E2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условиями прохождения предварительного анализа инвестиционных проектов по созданию модульных некапитальных средств размещения, подл</w:t>
      </w:r>
      <w:r w:rsidRPr="008923E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923E2">
        <w:rPr>
          <w:rFonts w:ascii="Times New Roman" w:eastAsia="Times New Roman" w:hAnsi="Times New Roman" w:cs="Times New Roman"/>
          <w:sz w:val="28"/>
          <w:szCs w:val="28"/>
          <w:lang w:eastAsia="ru-RU"/>
        </w:rPr>
        <w:t>жащих реализации на территории в Республики Тыва в 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923E2">
        <w:rPr>
          <w:rFonts w:ascii="Times New Roman" w:eastAsia="Times New Roman" w:hAnsi="Times New Roman" w:cs="Times New Roman"/>
          <w:sz w:val="28"/>
          <w:szCs w:val="28"/>
          <w:lang w:eastAsia="ru-RU"/>
        </w:rPr>
        <w:t>2027 годах, в соо</w:t>
      </w:r>
      <w:r w:rsidRPr="008923E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923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 Порядком проведения предварительного анализа инвестиционных проектов по созданию модульных некапитальных средств размещения, подл</w:t>
      </w:r>
      <w:r w:rsidRPr="008923E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923E2">
        <w:rPr>
          <w:rFonts w:ascii="Times New Roman" w:eastAsia="Times New Roman" w:hAnsi="Times New Roman" w:cs="Times New Roman"/>
          <w:sz w:val="28"/>
          <w:szCs w:val="28"/>
          <w:lang w:eastAsia="ru-RU"/>
        </w:rPr>
        <w:t>жащих реализации на территории Республики Тыва в 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923E2">
        <w:rPr>
          <w:rFonts w:ascii="Times New Roman" w:eastAsia="Times New Roman" w:hAnsi="Times New Roman" w:cs="Times New Roman"/>
          <w:sz w:val="28"/>
          <w:szCs w:val="28"/>
          <w:lang w:eastAsia="ru-RU"/>
        </w:rPr>
        <w:t>2027 годах, озн</w:t>
      </w:r>
      <w:r w:rsidRPr="008923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23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комлены.</w:t>
      </w:r>
    </w:p>
    <w:p w:rsidR="008923E2" w:rsidRPr="008923E2" w:rsidRDefault="008923E2" w:rsidP="008923E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E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Даем согласие на представление сведений, составляющих налоговую тайну, в соответствии с подпунктом 1 пункта 1 статьи 102 Налогового кодекса Российской Федерации.</w:t>
      </w:r>
    </w:p>
    <w:p w:rsidR="008923E2" w:rsidRPr="008923E2" w:rsidRDefault="008923E2" w:rsidP="008923E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E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Даем согласие на осуществление Агентством по туризму Республики Т</w:t>
      </w:r>
      <w:r w:rsidRPr="008923E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923E2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проверок соблюдения нами условий участия в предварительном анализе и</w:t>
      </w:r>
      <w:r w:rsidRPr="008923E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923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вестиционных проектов по созданию модульных некапитальных средств ра</w:t>
      </w:r>
      <w:r w:rsidRPr="008923E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923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мещения, подлежащих реализации на территории Республики Тыва в 2025</w:t>
      </w:r>
      <w:r w:rsidR="00A1544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923E2">
        <w:rPr>
          <w:rFonts w:ascii="Times New Roman" w:eastAsia="Times New Roman" w:hAnsi="Times New Roman" w:cs="Times New Roman"/>
          <w:sz w:val="28"/>
          <w:szCs w:val="28"/>
          <w:lang w:eastAsia="ru-RU"/>
        </w:rPr>
        <w:t>2027 годах, в соответствии с Порядком проведения предварительного анализа инв</w:t>
      </w:r>
      <w:r w:rsidRPr="008923E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923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стиционных проектов по созданию модульных некапитальных средств разм</w:t>
      </w:r>
      <w:r w:rsidRPr="008923E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923E2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щения, подлежащих реализации на территории Республики Тыва в 2025</w:t>
      </w:r>
      <w:r w:rsidR="00A1544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923E2">
        <w:rPr>
          <w:rFonts w:ascii="Times New Roman" w:eastAsia="Times New Roman" w:hAnsi="Times New Roman" w:cs="Times New Roman"/>
          <w:sz w:val="28"/>
          <w:szCs w:val="28"/>
          <w:lang w:eastAsia="ru-RU"/>
        </w:rPr>
        <w:t>2027 годах, утвержденным Правительством Республики Тыва.</w:t>
      </w:r>
    </w:p>
    <w:p w:rsidR="008923E2" w:rsidRPr="008923E2" w:rsidRDefault="008923E2" w:rsidP="008923E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E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Гарантируем достоверность сведений, содержащихся в заявке и прилаг</w:t>
      </w:r>
      <w:r w:rsidRPr="008923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23E2">
        <w:rPr>
          <w:rFonts w:ascii="Times New Roman" w:eastAsia="Times New Roman" w:hAnsi="Times New Roman" w:cs="Times New Roman"/>
          <w:sz w:val="28"/>
          <w:szCs w:val="28"/>
          <w:lang w:eastAsia="ru-RU"/>
        </w:rPr>
        <w:t>емых к ней документах.</w:t>
      </w:r>
    </w:p>
    <w:p w:rsidR="008923E2" w:rsidRPr="008923E2" w:rsidRDefault="008923E2" w:rsidP="008923E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возражаем против проверки представленных нами данных.</w:t>
      </w:r>
    </w:p>
    <w:p w:rsidR="008923E2" w:rsidRPr="008923E2" w:rsidRDefault="008923E2" w:rsidP="00A1544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3E2" w:rsidRPr="008923E2" w:rsidRDefault="008923E2" w:rsidP="00A1544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3E2" w:rsidRPr="008923E2" w:rsidRDefault="008923E2" w:rsidP="00A1544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3E2" w:rsidRPr="008923E2" w:rsidRDefault="00A15449" w:rsidP="00A154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923E2" w:rsidRPr="008923E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</w:t>
      </w:r>
    </w:p>
    <w:p w:rsidR="008923E2" w:rsidRPr="008923E2" w:rsidRDefault="008923E2" w:rsidP="00A1544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E2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(индивидуальный предприниматель)</w:t>
      </w:r>
      <w:r w:rsidR="00A15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3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______________________</w:t>
      </w:r>
    </w:p>
    <w:p w:rsidR="008923E2" w:rsidRPr="00A15449" w:rsidRDefault="00A15449" w:rsidP="00A1544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</w:t>
      </w:r>
      <w:r w:rsidR="008923E2" w:rsidRPr="00A15449">
        <w:rPr>
          <w:rFonts w:ascii="Times New Roman" w:eastAsia="Times New Roman" w:hAnsi="Times New Roman" w:cs="Times New Roman"/>
          <w:sz w:val="24"/>
          <w:szCs w:val="28"/>
          <w:lang w:eastAsia="ru-RU"/>
        </w:rPr>
        <w:t>(подпись)          (фамилия, имя, отчество)</w:t>
      </w:r>
    </w:p>
    <w:p w:rsidR="008923E2" w:rsidRPr="00A15449" w:rsidRDefault="00A15449" w:rsidP="00A1544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 </w:t>
      </w:r>
      <w:r w:rsidR="008923E2" w:rsidRPr="00A15449">
        <w:rPr>
          <w:rFonts w:ascii="Times New Roman" w:eastAsia="Times New Roman" w:hAnsi="Times New Roman" w:cs="Times New Roman"/>
          <w:sz w:val="24"/>
          <w:szCs w:val="28"/>
          <w:lang w:eastAsia="ru-RU"/>
        </w:rPr>
        <w:t>(последнее – при наличии)</w:t>
      </w:r>
    </w:p>
    <w:p w:rsidR="008923E2" w:rsidRPr="00A15449" w:rsidRDefault="008923E2" w:rsidP="00A1544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923E2" w:rsidRPr="008923E2" w:rsidRDefault="008923E2" w:rsidP="00A1544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E2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(при наличии)</w:t>
      </w:r>
    </w:p>
    <w:p w:rsidR="008923E2" w:rsidRDefault="008923E2" w:rsidP="00A1544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449" w:rsidRPr="008923E2" w:rsidRDefault="00A15449" w:rsidP="00A1544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3E2" w:rsidRPr="008923E2" w:rsidRDefault="008923E2" w:rsidP="00A1544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E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Дата_____________</w:t>
      </w:r>
      <w:bookmarkEnd w:id="14"/>
    </w:p>
    <w:p w:rsidR="00DA02DC" w:rsidRPr="008923E2" w:rsidRDefault="00DA02DC" w:rsidP="00A15449">
      <w:pPr>
        <w:tabs>
          <w:tab w:val="left" w:pos="1276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bookmarkEnd w:id="13"/>
    <w:p w:rsidR="001B2143" w:rsidRDefault="001B2143" w:rsidP="00A15449">
      <w:pPr>
        <w:tabs>
          <w:tab w:val="left" w:pos="1276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1B2143" w:rsidSect="0000676F">
          <w:pgSz w:w="11907" w:h="16840" w:code="9"/>
          <w:pgMar w:top="1134" w:right="567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1B2143" w:rsidRPr="001B2143" w:rsidRDefault="001B2143" w:rsidP="001B2143">
      <w:pPr>
        <w:autoSpaceDE w:val="0"/>
        <w:autoSpaceDN w:val="0"/>
        <w:adjustRightInd w:val="0"/>
        <w:spacing w:after="0" w:line="240" w:lineRule="auto"/>
        <w:ind w:left="3686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21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2</w:t>
      </w:r>
      <w:r w:rsidRPr="001B21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к </w:t>
      </w:r>
      <w:hyperlink w:anchor="sub_1000" w:history="1">
        <w:r w:rsidRPr="001B214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Порядку</w:t>
        </w:r>
      </w:hyperlink>
      <w:r w:rsidRPr="001B21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проведения предварительного</w:t>
      </w:r>
    </w:p>
    <w:p w:rsidR="001B2143" w:rsidRPr="001B2143" w:rsidRDefault="001B2143" w:rsidP="001B2143">
      <w:pPr>
        <w:autoSpaceDE w:val="0"/>
        <w:autoSpaceDN w:val="0"/>
        <w:adjustRightInd w:val="0"/>
        <w:spacing w:after="0" w:line="240" w:lineRule="auto"/>
        <w:ind w:left="3686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21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анализа инвестиционных проектов по созданию</w:t>
      </w:r>
    </w:p>
    <w:p w:rsidR="001B2143" w:rsidRPr="001B2143" w:rsidRDefault="001B2143" w:rsidP="001B2143">
      <w:pPr>
        <w:autoSpaceDE w:val="0"/>
        <w:autoSpaceDN w:val="0"/>
        <w:adjustRightInd w:val="0"/>
        <w:spacing w:after="0" w:line="240" w:lineRule="auto"/>
        <w:ind w:left="3686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21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модульных некапитальных средств размещения,</w:t>
      </w:r>
    </w:p>
    <w:p w:rsidR="001B2143" w:rsidRPr="001B2143" w:rsidRDefault="001B2143" w:rsidP="001B2143">
      <w:pPr>
        <w:autoSpaceDE w:val="0"/>
        <w:autoSpaceDN w:val="0"/>
        <w:adjustRightInd w:val="0"/>
        <w:spacing w:after="0" w:line="240" w:lineRule="auto"/>
        <w:ind w:left="3686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21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подлежащих реализации на территории</w:t>
      </w:r>
    </w:p>
    <w:p w:rsidR="001B2143" w:rsidRPr="001B2143" w:rsidRDefault="001B2143" w:rsidP="001B2143">
      <w:pPr>
        <w:autoSpaceDE w:val="0"/>
        <w:autoSpaceDN w:val="0"/>
        <w:adjustRightInd w:val="0"/>
        <w:spacing w:after="0" w:line="240" w:lineRule="auto"/>
        <w:ind w:left="3686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21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Тыва в 2025-2027 годах</w:t>
      </w:r>
    </w:p>
    <w:p w:rsidR="001B2143" w:rsidRPr="001B2143" w:rsidRDefault="001B2143" w:rsidP="001B2143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143" w:rsidRPr="001B2143" w:rsidRDefault="001B2143" w:rsidP="001B2143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143" w:rsidRPr="001B2143" w:rsidRDefault="001B2143" w:rsidP="001B21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21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B21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B21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B21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B21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B21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B21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B21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</w:t>
      </w:r>
    </w:p>
    <w:p w:rsidR="001B2143" w:rsidRDefault="001B2143" w:rsidP="001B21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21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документов, прилагаемых к заявке юридических лиц </w:t>
      </w:r>
    </w:p>
    <w:p w:rsidR="001B2143" w:rsidRDefault="001B2143" w:rsidP="001B21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21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B21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индивидуальных предпринимателей для участия </w:t>
      </w:r>
    </w:p>
    <w:p w:rsidR="001B2143" w:rsidRDefault="001B2143" w:rsidP="001B21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21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предварительном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B21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анализе инвестиционных проектов </w:t>
      </w:r>
    </w:p>
    <w:p w:rsidR="001B2143" w:rsidRDefault="001B2143" w:rsidP="001B21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21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созданию модульных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B21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некапитальных средств </w:t>
      </w:r>
    </w:p>
    <w:p w:rsidR="001B2143" w:rsidRDefault="001B2143" w:rsidP="001B21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21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размещения, подлежащих реализации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B21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</w:t>
      </w:r>
    </w:p>
    <w:p w:rsidR="001B2143" w:rsidRPr="001B2143" w:rsidRDefault="001B2143" w:rsidP="001B21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21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Республики Тыва в 2025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1B21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2027 годах</w:t>
      </w:r>
    </w:p>
    <w:p w:rsidR="001B2143" w:rsidRPr="001B2143" w:rsidRDefault="001B2143" w:rsidP="001B21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2143" w:rsidRPr="006966F7" w:rsidRDefault="001B2143" w:rsidP="001B21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6F7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Сведения об инвестиционном проекте юридических лиц или индивид</w:t>
      </w:r>
      <w:r w:rsidRPr="006966F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966F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альных предпринимателей по созданию модульных некапитальных средств размещения для участия в конкурсном отборе инвестиционных проектов по с</w:t>
      </w:r>
      <w:r w:rsidRPr="006966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966F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зданию модульных некапитальных средств размещения со</w:t>
      </w:r>
      <w:r w:rsidR="0049346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гласно приложению к настоящему П</w:t>
      </w:r>
      <w:r w:rsidRPr="006966F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еречню.</w:t>
      </w:r>
    </w:p>
    <w:p w:rsidR="001B2143" w:rsidRPr="006966F7" w:rsidRDefault="001B2143" w:rsidP="001B21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6F7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Финансово-экономическое обоснование заявленного размера субсидии на поддержку инвестиционного проекта по созданию модульных некапитал</w:t>
      </w:r>
      <w:r w:rsidRPr="006966F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966F7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средств размещения.</w:t>
      </w:r>
    </w:p>
    <w:p w:rsidR="001B2143" w:rsidRPr="006966F7" w:rsidRDefault="001B2143" w:rsidP="001B21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6F7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Описание комплекса мероприятий, включающе</w:t>
      </w:r>
      <w:r w:rsidR="0049346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9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юридич</w:t>
      </w:r>
      <w:r w:rsidRPr="006966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966F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скими лицами или индивидуальными предпринимателями модульных некап</w:t>
      </w:r>
      <w:r w:rsidRPr="006966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966F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тальных средств размещения, обеспечение их водоснабжением и водоотведен</w:t>
      </w:r>
      <w:r w:rsidRPr="006966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966F7">
        <w:rPr>
          <w:rFonts w:ascii="Times New Roman" w:eastAsia="Times New Roman" w:hAnsi="Times New Roman" w:cs="Times New Roman"/>
          <w:sz w:val="28"/>
          <w:szCs w:val="28"/>
          <w:lang w:eastAsia="ru-RU"/>
        </w:rPr>
        <w:t>ем, связью, энергоснабжением (в том числе электроснабжением, газоснабжен</w:t>
      </w:r>
      <w:r w:rsidRPr="006966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966F7">
        <w:rPr>
          <w:rFonts w:ascii="Times New Roman" w:eastAsia="Times New Roman" w:hAnsi="Times New Roman" w:cs="Times New Roman"/>
          <w:sz w:val="28"/>
          <w:szCs w:val="28"/>
          <w:lang w:eastAsia="ru-RU"/>
        </w:rPr>
        <w:t>ем, теплоснабжением), содержащее следующую информацию:</w:t>
      </w:r>
    </w:p>
    <w:p w:rsidR="001B2143" w:rsidRPr="006966F7" w:rsidRDefault="001B2143" w:rsidP="001B21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6F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наименование инвестиционного проекта и местоположение земельного участка, на котором планируется его реализация, а также документы, подтве</w:t>
      </w:r>
      <w:r w:rsidRPr="006966F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966F7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ждающие право на указанные земельные участки либо право размещения на них модульных некапитальных средств размещения;</w:t>
      </w:r>
    </w:p>
    <w:p w:rsidR="001B2143" w:rsidRPr="006966F7" w:rsidRDefault="001B2143" w:rsidP="001B21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6F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срок реализации инвестиционного проекта;</w:t>
      </w:r>
    </w:p>
    <w:p w:rsidR="001B2143" w:rsidRPr="006966F7" w:rsidRDefault="001B2143" w:rsidP="001B21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6F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количество номеров в модульных некапитальных средствах размещ</w:t>
      </w:r>
      <w:r w:rsidRPr="006966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966F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предполагаемых к созданию в рамках инвестиционного проекта;</w:t>
      </w:r>
    </w:p>
    <w:p w:rsidR="001B2143" w:rsidRPr="006966F7" w:rsidRDefault="001B2143" w:rsidP="001B21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6F7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размер потребности в субсидии, у</w:t>
      </w:r>
      <w:r w:rsidR="004934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казанной в пункте 2 настоящего П</w:t>
      </w:r>
      <w:r w:rsidRPr="006966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966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речня;</w:t>
      </w:r>
    </w:p>
    <w:p w:rsidR="001B2143" w:rsidRPr="00F0598D" w:rsidRDefault="001B2143" w:rsidP="001B21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98D">
        <w:rPr>
          <w:rFonts w:ascii="Times New Roman" w:eastAsia="Times New Roman" w:hAnsi="Times New Roman" w:cs="Times New Roman"/>
          <w:sz w:val="28"/>
          <w:szCs w:val="28"/>
          <w:lang w:eastAsia="ru-RU"/>
        </w:rPr>
        <w:t>) сведения о категории земельного участка и виде разрешенного испол</w:t>
      </w:r>
      <w:r w:rsidRPr="00F0598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0598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зования, на котором планируется размещение модульных некапитальных средств размещения, и подтверждающие документы об имеющихся на нем и прилегающих к нему земельных участках объектах водоснабжения и водоотв</w:t>
      </w:r>
      <w:r w:rsidRPr="00F059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59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(включая автономные), связи, энергоснабжения (в том числе электр</w:t>
      </w:r>
      <w:r w:rsidRPr="00F0598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98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снабжения, газоснабжения, теплоснабжения (включая автономные), подъез</w:t>
      </w:r>
      <w:r w:rsidRPr="00F0598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98D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автомобильных дорог (при наличии таких объектов);</w:t>
      </w:r>
    </w:p>
    <w:p w:rsidR="001B2143" w:rsidRPr="00F0598D" w:rsidRDefault="001B2143" w:rsidP="001B21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9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е) сведения и подтверждающие документы о наличии на земельном участке, указанном в подпункте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«д»</w:t>
      </w:r>
      <w:r w:rsidRPr="00F05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или прилегающих к нему земельных участках объектов туристского показа и посещения, общ</w:t>
      </w:r>
      <w:r w:rsidRPr="00F059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59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ственного питания, торговли продовольственными товарами, сувенирами, а также изделиями народных художественных промыслов, относящихся к орг</w:t>
      </w:r>
      <w:r w:rsidRPr="00F059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598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низациям, осуществляющим деятельность в соответствии с видами деятельн</w:t>
      </w:r>
      <w:r w:rsidRPr="00F0598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9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по собирательной классификационной группировке видов экономической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ятельности «</w:t>
      </w:r>
      <w:r w:rsidRPr="00F0598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Туризм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05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Общероссийского </w:t>
      </w:r>
      <w:hyperlink r:id="rId10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{КонсультантПлюс}">
        <w:r w:rsidRPr="00F0598D">
          <w:rPr>
            <w:rStyle w:val="af8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классификатора</w:t>
        </w:r>
      </w:hyperlink>
      <w:r w:rsidRPr="00F05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экономической деятельности ОК 029-2014 (КДЕС Ред. 2) (при наличии);</w:t>
      </w:r>
    </w:p>
    <w:p w:rsidR="001B2143" w:rsidRPr="00F0598D" w:rsidRDefault="001B2143" w:rsidP="001B21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98D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сведения о планируемом расположении модульных некапитальных средств размещения (при наличии):</w:t>
      </w:r>
    </w:p>
    <w:p w:rsidR="001B2143" w:rsidRPr="00F0598D" w:rsidRDefault="001B2143" w:rsidP="001B21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9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особой экономической зоны туристско-рекреационного типа;</w:t>
      </w:r>
    </w:p>
    <w:p w:rsidR="001B2143" w:rsidRPr="00F0598D" w:rsidRDefault="001B2143" w:rsidP="001B21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9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особо охраняемых природных территориях и (или) в их охранных з</w:t>
      </w:r>
      <w:r w:rsidRPr="00F0598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9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 (при наличии);</w:t>
      </w:r>
    </w:p>
    <w:p w:rsidR="001B2143" w:rsidRPr="00F0598D" w:rsidRDefault="001B2143" w:rsidP="001B21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9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месте бытования народного художественного промысла;</w:t>
      </w:r>
    </w:p>
    <w:p w:rsidR="001B2143" w:rsidRPr="006966F7" w:rsidRDefault="001B2143" w:rsidP="001B21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</w:t>
      </w:r>
      <w:r w:rsidRPr="00F0598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инвестиционном проекте, планируемом к реализации вбл</w:t>
      </w:r>
      <w:r w:rsidRPr="00F0598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98D">
        <w:rPr>
          <w:rFonts w:ascii="Times New Roman" w:eastAsia="Times New Roman" w:hAnsi="Times New Roman" w:cs="Times New Roman"/>
          <w:sz w:val="28"/>
          <w:szCs w:val="28"/>
          <w:lang w:eastAsia="ru-RU"/>
        </w:rPr>
        <w:t>зи (в радиусе не более 5 км от участков автомобильных дорог федерального значения и (или) не более 3 км от участков автомобильных дорог региональн</w:t>
      </w:r>
      <w:r w:rsidRPr="00F0598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9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или межмуниципального значения) утвержденного уполномоченным испо</w:t>
      </w:r>
      <w:r w:rsidRPr="00F0598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5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нительным органом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Тыва </w:t>
      </w:r>
      <w:r w:rsidRPr="00F0598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автомобильного туристского маршрута (в том числе в составе многофункциональной зоны дорожного сервиса) (при наличии).</w:t>
      </w:r>
    </w:p>
    <w:p w:rsidR="001B2143" w:rsidRPr="006966F7" w:rsidRDefault="001B2143" w:rsidP="001B21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677" w:rsidRDefault="000C1677" w:rsidP="001B2143">
      <w:pPr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0C1677" w:rsidSect="0000676F">
          <w:pgSz w:w="11907" w:h="16840" w:code="9"/>
          <w:pgMar w:top="1134" w:right="567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0C1677" w:rsidRDefault="000C1677" w:rsidP="000C1677">
      <w:pPr>
        <w:autoSpaceDE w:val="0"/>
        <w:autoSpaceDN w:val="0"/>
        <w:adjustRightInd w:val="0"/>
        <w:spacing w:after="0" w:line="240" w:lineRule="auto"/>
        <w:ind w:left="3402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16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Pr="000C16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Перечню</w:t>
      </w:r>
      <w:r w:rsidRPr="000C1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документов, прилагаемых 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C1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заявке </w:t>
      </w:r>
    </w:p>
    <w:p w:rsidR="000C1677" w:rsidRDefault="000C1677" w:rsidP="000C1677">
      <w:pPr>
        <w:autoSpaceDE w:val="0"/>
        <w:autoSpaceDN w:val="0"/>
        <w:adjustRightInd w:val="0"/>
        <w:spacing w:after="0" w:line="240" w:lineRule="auto"/>
        <w:ind w:left="3402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1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юридических лиц или индивидуальных </w:t>
      </w:r>
    </w:p>
    <w:p w:rsidR="000C1677" w:rsidRDefault="000C1677" w:rsidP="000C1677">
      <w:pPr>
        <w:autoSpaceDE w:val="0"/>
        <w:autoSpaceDN w:val="0"/>
        <w:adjustRightInd w:val="0"/>
        <w:spacing w:after="0" w:line="240" w:lineRule="auto"/>
        <w:ind w:left="3402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1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предпринимателей для участия в предварительном анализе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C1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инвестиционных проектов по созданию модульных некапитальных средств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C1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размещения, подлежащих реализации на территории</w:t>
      </w:r>
    </w:p>
    <w:p w:rsidR="000C1677" w:rsidRPr="000C1677" w:rsidRDefault="000C1677" w:rsidP="000C1677">
      <w:pPr>
        <w:autoSpaceDE w:val="0"/>
        <w:autoSpaceDN w:val="0"/>
        <w:adjustRightInd w:val="0"/>
        <w:spacing w:after="0" w:line="240" w:lineRule="auto"/>
        <w:ind w:left="3402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1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Республики Тыва в 2025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</w:t>
      </w:r>
      <w:r w:rsidRPr="000C1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027 годах</w:t>
      </w:r>
    </w:p>
    <w:p w:rsidR="000C1677" w:rsidRDefault="000C1677" w:rsidP="000C1677">
      <w:pPr>
        <w:widowControl w:val="0"/>
        <w:autoSpaceDE w:val="0"/>
        <w:autoSpaceDN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677" w:rsidRPr="000C1677" w:rsidRDefault="000C1677" w:rsidP="000C1677">
      <w:pPr>
        <w:widowControl w:val="0"/>
        <w:autoSpaceDE w:val="0"/>
        <w:autoSpaceDN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677" w:rsidRPr="000C1677" w:rsidRDefault="000C1677" w:rsidP="000C16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C1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C1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C1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C1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C1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C1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C1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</w:p>
    <w:p w:rsidR="000C1677" w:rsidRDefault="000C1677" w:rsidP="000C16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инвестиционном проекте юридических лиц и</w:t>
      </w:r>
    </w:p>
    <w:p w:rsidR="000C1677" w:rsidRDefault="000C1677" w:rsidP="000C16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6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предпринимателей по созданию</w:t>
      </w:r>
    </w:p>
    <w:p w:rsidR="000C1677" w:rsidRDefault="000C1677" w:rsidP="000C16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модульных некапитальных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</w:t>
      </w:r>
    </w:p>
    <w:p w:rsidR="000C1677" w:rsidRPr="000C1677" w:rsidRDefault="000C1677" w:rsidP="000C16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7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конкурсном отборе &lt;*&gt;</w:t>
      </w:r>
    </w:p>
    <w:p w:rsidR="000C1677" w:rsidRPr="000C1677" w:rsidRDefault="000C1677" w:rsidP="000C16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7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0C1677" w:rsidRPr="000C1677" w:rsidRDefault="000C1677" w:rsidP="000C16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1677">
        <w:rPr>
          <w:rFonts w:ascii="Times New Roman" w:eastAsia="Times New Roman" w:hAnsi="Times New Roman" w:cs="Times New Roman"/>
          <w:sz w:val="24"/>
          <w:szCs w:val="28"/>
          <w:lang w:eastAsia="ru-RU"/>
        </w:rPr>
        <w:t>(наименование субъекта Российской Федерации)</w:t>
      </w:r>
    </w:p>
    <w:p w:rsidR="000C1677" w:rsidRPr="000C1677" w:rsidRDefault="000C1677" w:rsidP="000C16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08"/>
        <w:gridCol w:w="7087"/>
        <w:gridCol w:w="1644"/>
      </w:tblGrid>
      <w:tr w:rsidR="000C1677" w:rsidRPr="000C1677" w:rsidTr="0092172A">
        <w:tc>
          <w:tcPr>
            <w:tcW w:w="908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31" w:type="dxa"/>
            <w:gridSpan w:val="2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инвестиционного проекта юридических лиц и индивид</w:t>
            </w: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альных предпринимателей по созданию модульных некапитал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ьных средств разм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щения (далее –</w:t>
            </w: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инвестиционный проект)</w:t>
            </w:r>
          </w:p>
        </w:tc>
      </w:tr>
      <w:tr w:rsidR="000C1677" w:rsidRPr="000C1677" w:rsidTr="0092172A">
        <w:tc>
          <w:tcPr>
            <w:tcW w:w="908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087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инвестиционного проекта</w:t>
            </w:r>
          </w:p>
        </w:tc>
        <w:tc>
          <w:tcPr>
            <w:tcW w:w="1644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677" w:rsidRPr="000C1677" w:rsidTr="0092172A">
        <w:tc>
          <w:tcPr>
            <w:tcW w:w="908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7087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инвестора</w:t>
            </w:r>
          </w:p>
        </w:tc>
        <w:tc>
          <w:tcPr>
            <w:tcW w:w="1644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677" w:rsidRPr="000C1677" w:rsidTr="0092172A">
        <w:tc>
          <w:tcPr>
            <w:tcW w:w="908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7087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1644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677" w:rsidRPr="000C1677" w:rsidTr="0092172A">
        <w:tc>
          <w:tcPr>
            <w:tcW w:w="908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7087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1644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677" w:rsidRPr="000C1677" w:rsidTr="0092172A">
        <w:tc>
          <w:tcPr>
            <w:tcW w:w="908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7087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вид деятельности согласно Общероссийскому </w:t>
            </w:r>
            <w:hyperlink r:id="rId11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{КонсультантПлюс}">
              <w:r w:rsidRPr="000C16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классиф</w:t>
              </w:r>
              <w:r w:rsidRPr="000C16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</w:t>
              </w:r>
              <w:r w:rsidRPr="000C16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катору</w:t>
              </w:r>
            </w:hyperlink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видов экономической деятельности ОК 029-2014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(КДЕС </w:t>
            </w:r>
            <w:r w:rsidR="0092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Ред. 2)</w:t>
            </w:r>
          </w:p>
        </w:tc>
        <w:tc>
          <w:tcPr>
            <w:tcW w:w="1644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677" w:rsidRPr="000C1677" w:rsidTr="0092172A">
        <w:tc>
          <w:tcPr>
            <w:tcW w:w="908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087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инвестиционного проекта</w:t>
            </w:r>
          </w:p>
        </w:tc>
        <w:tc>
          <w:tcPr>
            <w:tcW w:w="1644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677" w:rsidRPr="000C1677" w:rsidTr="0092172A">
        <w:tc>
          <w:tcPr>
            <w:tcW w:w="908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087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инвестиционного проекта</w:t>
            </w:r>
          </w:p>
        </w:tc>
        <w:tc>
          <w:tcPr>
            <w:tcW w:w="1644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677" w:rsidRPr="000C1677" w:rsidTr="0092172A">
        <w:tc>
          <w:tcPr>
            <w:tcW w:w="908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087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модульных некапитальных средств размещения</w:t>
            </w:r>
          </w:p>
        </w:tc>
        <w:tc>
          <w:tcPr>
            <w:tcW w:w="1644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677" w:rsidRPr="000C1677" w:rsidTr="0092172A">
        <w:tc>
          <w:tcPr>
            <w:tcW w:w="908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7087" w:type="dxa"/>
          </w:tcPr>
          <w:p w:rsidR="000C1677" w:rsidRPr="000C1677" w:rsidRDefault="000C1677" w:rsidP="00CF5EB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планируемых к вводу номеров в модульных некап</w:t>
            </w: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тальных средствах размещения в составе инвестиционн</w:t>
            </w:r>
            <w:r w:rsidR="00CF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</w:t>
            </w:r>
            <w:r w:rsidR="00CF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644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677" w:rsidRPr="000C1677" w:rsidTr="0092172A">
        <w:tc>
          <w:tcPr>
            <w:tcW w:w="908" w:type="dxa"/>
            <w:vMerge w:val="restart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644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677" w:rsidRPr="000C1677" w:rsidTr="0092172A">
        <w:tc>
          <w:tcPr>
            <w:tcW w:w="908" w:type="dxa"/>
            <w:vMerge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644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677" w:rsidRPr="000C1677" w:rsidTr="0092172A">
        <w:tc>
          <w:tcPr>
            <w:tcW w:w="908" w:type="dxa"/>
            <w:vMerge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44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677" w:rsidRPr="000C1677" w:rsidTr="0092172A">
        <w:tc>
          <w:tcPr>
            <w:tcW w:w="908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7087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Инвестиционный проект реализуется на территории особой экон</w:t>
            </w: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мической зоны туристско-рекреационного типа (в случае выполн</w:t>
            </w: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2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условия –</w:t>
            </w: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указать наименование особой экономической зоны туристско-рекреационного типа)</w:t>
            </w:r>
          </w:p>
        </w:tc>
        <w:tc>
          <w:tcPr>
            <w:tcW w:w="1644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677" w:rsidRPr="000C1677" w:rsidTr="0092172A">
        <w:tc>
          <w:tcPr>
            <w:tcW w:w="908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7087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земельном участке, а также о категории земли и виде его разрешенного пользования для размещения модульных некап</w:t>
            </w: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тальных средств размещения</w:t>
            </w:r>
          </w:p>
        </w:tc>
        <w:tc>
          <w:tcPr>
            <w:tcW w:w="1644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677" w:rsidRPr="000C1677" w:rsidTr="0092172A">
        <w:tc>
          <w:tcPr>
            <w:tcW w:w="908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1.7.1.</w:t>
            </w:r>
          </w:p>
        </w:tc>
        <w:tc>
          <w:tcPr>
            <w:tcW w:w="7087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на котором предполагае</w:t>
            </w: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 реализация </w:t>
            </w:r>
            <w:r w:rsidR="00CF5EB7"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</w:t>
            </w:r>
            <w:r w:rsidR="00CF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CF5EB7"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1644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677" w:rsidRPr="000C1677" w:rsidTr="0092172A">
        <w:tc>
          <w:tcPr>
            <w:tcW w:w="908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1.7.2.</w:t>
            </w:r>
          </w:p>
        </w:tc>
        <w:tc>
          <w:tcPr>
            <w:tcW w:w="7087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земельного участка</w:t>
            </w:r>
          </w:p>
        </w:tc>
        <w:tc>
          <w:tcPr>
            <w:tcW w:w="1644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677" w:rsidRPr="000C1677" w:rsidTr="0092172A">
        <w:tc>
          <w:tcPr>
            <w:tcW w:w="908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1.7.3.</w:t>
            </w:r>
          </w:p>
        </w:tc>
        <w:tc>
          <w:tcPr>
            <w:tcW w:w="7087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1644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5EB7" w:rsidRDefault="00CF5EB7"/>
    <w:tbl>
      <w:tblPr>
        <w:tblStyle w:val="a3"/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08"/>
        <w:gridCol w:w="7087"/>
        <w:gridCol w:w="1644"/>
      </w:tblGrid>
      <w:tr w:rsidR="000C1677" w:rsidRPr="000C1677" w:rsidTr="0092172A">
        <w:tc>
          <w:tcPr>
            <w:tcW w:w="908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1.8.</w:t>
            </w:r>
          </w:p>
        </w:tc>
        <w:tc>
          <w:tcPr>
            <w:tcW w:w="7087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объектов, необходимых для функционирования модул</w:t>
            </w: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некапитальных средств размещения (объекты водоснабжения и водоотведения (включая автономные), связи, энергоснабжения (в том числе электроснабжения, газоснабжения, теплоснабжения), подъездных автомобильных дорог) (при наличии)</w:t>
            </w:r>
          </w:p>
        </w:tc>
        <w:tc>
          <w:tcPr>
            <w:tcW w:w="1644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677" w:rsidRPr="000C1677" w:rsidTr="0092172A">
        <w:tc>
          <w:tcPr>
            <w:tcW w:w="908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7087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туристической инфраструктуры (объекты т</w:t>
            </w: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ристского показа и посещения, общественного питания, торговли продовольственными товарами, сувенирами, а также изделиями народных художественных промыслов, относящихся к организац</w:t>
            </w: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ям, осуществляющим деятельность в соответствии с видами де</w:t>
            </w: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 по собирательной классификационной группировке в</w:t>
            </w: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 экономической деятельно</w:t>
            </w:r>
            <w:r w:rsidR="0092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«</w:t>
            </w: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</w:t>
            </w:r>
            <w:r w:rsidR="0092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Общеро</w:t>
            </w: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сийского </w:t>
            </w:r>
            <w:hyperlink r:id="rId12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{КонсультантПлюс}">
              <w:r w:rsidRPr="000C16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классификатора</w:t>
              </w:r>
            </w:hyperlink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видов экономической деятельности </w:t>
            </w:r>
            <w:r w:rsidR="0092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029-2014</w:t>
            </w:r>
            <w:r w:rsidR="0092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(КДЕС Ред. 2) (при наличии)</w:t>
            </w:r>
          </w:p>
        </w:tc>
        <w:tc>
          <w:tcPr>
            <w:tcW w:w="1644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677" w:rsidRPr="000C1677" w:rsidTr="0092172A">
        <w:tc>
          <w:tcPr>
            <w:tcW w:w="908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7087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Инвестиционный проект реализуется вблизи (в радиусе не более 5 км от участков автомобильных дорог федерального значения и (или) не более 3 км от участков автомобильных дорог регионал</w:t>
            </w: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или межмуниципального значения) утвержденного уполном</w:t>
            </w: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ченным исполнительным органом субъекта Российской Федерации автомобильного туристского маршрута (в том числе в составе мн</w:t>
            </w: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гофункциональной зоны дорожного сервиса)</w:t>
            </w:r>
            <w:r w:rsidR="0092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1644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677" w:rsidRPr="000C1677" w:rsidTr="0092172A">
        <w:tc>
          <w:tcPr>
            <w:tcW w:w="908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1.10.1.</w:t>
            </w:r>
          </w:p>
        </w:tc>
        <w:tc>
          <w:tcPr>
            <w:tcW w:w="7087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автомобильного туристского маршрута, утвержде</w:t>
            </w: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руководителем регионального органа исполнительной власти в сфере туризма</w:t>
            </w:r>
          </w:p>
        </w:tc>
        <w:tc>
          <w:tcPr>
            <w:tcW w:w="1644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677" w:rsidRPr="000C1677" w:rsidTr="0092172A">
        <w:tc>
          <w:tcPr>
            <w:tcW w:w="908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1.10.2.</w:t>
            </w:r>
          </w:p>
        </w:tc>
        <w:tc>
          <w:tcPr>
            <w:tcW w:w="7087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автомобильной дороги федерального, региональн</w:t>
            </w: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или межмуниципального значения, входящей в состав автом</w:t>
            </w: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бильного туристского маршрута, вблизи которого реализуется и</w:t>
            </w: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вестиционный проект</w:t>
            </w:r>
          </w:p>
        </w:tc>
        <w:tc>
          <w:tcPr>
            <w:tcW w:w="1644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677" w:rsidRPr="000C1677" w:rsidTr="0092172A">
        <w:tc>
          <w:tcPr>
            <w:tcW w:w="908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1.10.3.</w:t>
            </w:r>
          </w:p>
        </w:tc>
        <w:tc>
          <w:tcPr>
            <w:tcW w:w="7087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Координаты месторасположения планируемого к реализации инв</w:t>
            </w: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стиционного проекта с указанием радиуса от участков автомобил</w:t>
            </w: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дорог федерального, регионального или межмуниципального значения в составе автомобильного туристского маршрута</w:t>
            </w:r>
          </w:p>
        </w:tc>
        <w:tc>
          <w:tcPr>
            <w:tcW w:w="1644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677" w:rsidRPr="000C1677" w:rsidTr="0092172A">
        <w:tc>
          <w:tcPr>
            <w:tcW w:w="908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1.10.4.</w:t>
            </w:r>
          </w:p>
        </w:tc>
        <w:tc>
          <w:tcPr>
            <w:tcW w:w="7087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Координаты многофункциональной зоны дорожного сервиса, ра</w:t>
            </w: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положенной вдоль автомобильной дороги федерального, реги</w:t>
            </w: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нального или межмуниципального значения в составе автомобил</w:t>
            </w: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туристского маршрута</w:t>
            </w:r>
            <w:r w:rsidR="0092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1644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677" w:rsidRPr="000C1677" w:rsidTr="0092172A">
        <w:tc>
          <w:tcPr>
            <w:tcW w:w="908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7087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субъекта Российской Федерации в очередном ф</w:t>
            </w: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нансовом году и плановом периоде запланировано проведение м</w:t>
            </w: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роприятий, посвященных празднованию на федеральном уровне памятных дат субъекта Российской Федерации или юбилейных дат выдающихся деятелей культуры, проводимых в том числе по р</w:t>
            </w: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шению Президента Российской Федерации и Правительства Ро</w:t>
            </w: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 (при вы</w:t>
            </w:r>
            <w:r w:rsidR="00AF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полнении условия –</w:t>
            </w: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указать наимен</w:t>
            </w: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мероприятия, реквизиты решения Президента Российской Федерации или Правительства Российской Федерации, срок пров</w:t>
            </w: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дения)</w:t>
            </w:r>
          </w:p>
        </w:tc>
        <w:tc>
          <w:tcPr>
            <w:tcW w:w="1644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677" w:rsidRPr="000C1677" w:rsidTr="0092172A">
        <w:tc>
          <w:tcPr>
            <w:tcW w:w="908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7087" w:type="dxa"/>
          </w:tcPr>
          <w:p w:rsidR="001E1485" w:rsidRPr="000C1677" w:rsidRDefault="000C1677" w:rsidP="00CF5EB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Инвестиционный проект реализуется на особо охраняемой приро</w:t>
            </w: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территории и (или) в ее охранной зоне (при выполнении усл</w:t>
            </w: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 - указать наименование особо охраняемой природной террит</w:t>
            </w: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рии, а также реквизиты нормативного правового акта, утвержда</w:t>
            </w: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 решение о создании такой особо охраняемой природной те</w:t>
            </w: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ритории и (или) ее охранной зоны)</w:t>
            </w:r>
          </w:p>
        </w:tc>
        <w:tc>
          <w:tcPr>
            <w:tcW w:w="1644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677" w:rsidRPr="000C1677" w:rsidTr="0092172A">
        <w:tc>
          <w:tcPr>
            <w:tcW w:w="908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1.13.</w:t>
            </w:r>
          </w:p>
        </w:tc>
        <w:tc>
          <w:tcPr>
            <w:tcW w:w="7087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Инвестиционный проект реализуется в месте бытования народного художественного промысла (при выполнении условия </w:t>
            </w:r>
            <w:r w:rsidR="0040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указать наименование места бытования народного художественного пр</w:t>
            </w: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мысла, а также реквизиты нормативного правового акта исполн</w:t>
            </w: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органа субъекта Российской Федерации, утверждающего решение об установлении места бытования народного худож</w:t>
            </w: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ственного промысла)</w:t>
            </w:r>
          </w:p>
        </w:tc>
        <w:tc>
          <w:tcPr>
            <w:tcW w:w="1644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677" w:rsidRPr="000C1677" w:rsidTr="0092172A">
        <w:tc>
          <w:tcPr>
            <w:tcW w:w="908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7087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Инвестиционный проект реализуется инвестором, имеющим опыт реализации проектов по созданию модульных некапитальных средств размещения (при выполнении условия указать наименов</w:t>
            </w: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реализованных инвестором проектов по созданию модульных некапитальных средств размещения, их местоположение, а также плановое и фактическое количество введенных в эксплуатацию номеров в проектах)</w:t>
            </w:r>
          </w:p>
        </w:tc>
        <w:tc>
          <w:tcPr>
            <w:tcW w:w="1644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677" w:rsidRPr="000C1677" w:rsidTr="0092172A">
        <w:tc>
          <w:tcPr>
            <w:tcW w:w="908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31" w:type="dxa"/>
            <w:gridSpan w:val="2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финансового обеспечения проекта</w:t>
            </w:r>
          </w:p>
        </w:tc>
      </w:tr>
      <w:tr w:rsidR="000C1677" w:rsidRPr="000C1677" w:rsidTr="001E1485">
        <w:tc>
          <w:tcPr>
            <w:tcW w:w="908" w:type="dxa"/>
            <w:vMerge w:val="restart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087" w:type="dxa"/>
          </w:tcPr>
          <w:p w:rsidR="000C1677" w:rsidRPr="000C1677" w:rsidRDefault="000C1677" w:rsidP="001E148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инвестиционного проекта</w:t>
            </w:r>
            <w:r w:rsidR="001E1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1644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677" w:rsidRPr="000C1677" w:rsidTr="001E1485">
        <w:tc>
          <w:tcPr>
            <w:tcW w:w="908" w:type="dxa"/>
            <w:vMerge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644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677" w:rsidRPr="000C1677" w:rsidTr="001E1485">
        <w:tc>
          <w:tcPr>
            <w:tcW w:w="908" w:type="dxa"/>
            <w:vMerge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644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677" w:rsidRPr="000C1677" w:rsidTr="001E1485">
        <w:tc>
          <w:tcPr>
            <w:tcW w:w="908" w:type="dxa"/>
            <w:vMerge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44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677" w:rsidRPr="000C1677" w:rsidTr="001E1485">
        <w:tc>
          <w:tcPr>
            <w:tcW w:w="908" w:type="dxa"/>
            <w:vMerge w:val="restart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087" w:type="dxa"/>
          </w:tcPr>
          <w:p w:rsidR="000C1677" w:rsidRPr="000C1677" w:rsidRDefault="000C1677" w:rsidP="001E148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потребности в средствах федерального бюджета на реал</w:t>
            </w: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зацию мероприятий</w:t>
            </w:r>
            <w:r w:rsidR="001E1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1644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677" w:rsidRPr="000C1677" w:rsidTr="001E1485">
        <w:tc>
          <w:tcPr>
            <w:tcW w:w="908" w:type="dxa"/>
            <w:vMerge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644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677" w:rsidRPr="000C1677" w:rsidTr="001E1485">
        <w:tc>
          <w:tcPr>
            <w:tcW w:w="908" w:type="dxa"/>
            <w:vMerge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644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677" w:rsidRPr="000C1677" w:rsidTr="001E1485">
        <w:tc>
          <w:tcPr>
            <w:tcW w:w="908" w:type="dxa"/>
            <w:vMerge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44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677" w:rsidRPr="000C1677" w:rsidTr="001E1485">
        <w:tc>
          <w:tcPr>
            <w:tcW w:w="908" w:type="dxa"/>
            <w:vMerge w:val="restart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087" w:type="dxa"/>
          </w:tcPr>
          <w:p w:rsidR="000C1677" w:rsidRPr="000C1677" w:rsidRDefault="000C1677" w:rsidP="001E148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средств субъекта Российской Федерации на реализацию и</w:t>
            </w: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вестиционного проекта</w:t>
            </w:r>
            <w:r w:rsidR="001E1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1644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677" w:rsidRPr="000C1677" w:rsidTr="001E1485">
        <w:tc>
          <w:tcPr>
            <w:tcW w:w="908" w:type="dxa"/>
            <w:vMerge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644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677" w:rsidRPr="000C1677" w:rsidTr="001E1485">
        <w:tc>
          <w:tcPr>
            <w:tcW w:w="908" w:type="dxa"/>
            <w:vMerge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644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677" w:rsidRPr="000C1677" w:rsidTr="001E1485">
        <w:tc>
          <w:tcPr>
            <w:tcW w:w="908" w:type="dxa"/>
            <w:vMerge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44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677" w:rsidRPr="000C1677" w:rsidTr="001E1485">
        <w:tc>
          <w:tcPr>
            <w:tcW w:w="908" w:type="dxa"/>
            <w:vMerge w:val="restart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7087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средств инвестора на реализацию инвестиционного проекта (тыс. рублей)</w:t>
            </w:r>
          </w:p>
        </w:tc>
        <w:tc>
          <w:tcPr>
            <w:tcW w:w="1644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677" w:rsidRPr="000C1677" w:rsidTr="001E1485">
        <w:tc>
          <w:tcPr>
            <w:tcW w:w="908" w:type="dxa"/>
            <w:vMerge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644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677" w:rsidRPr="000C1677" w:rsidTr="001E1485">
        <w:tc>
          <w:tcPr>
            <w:tcW w:w="908" w:type="dxa"/>
            <w:vMerge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644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677" w:rsidRPr="000C1677" w:rsidTr="001E1485">
        <w:tc>
          <w:tcPr>
            <w:tcW w:w="908" w:type="dxa"/>
            <w:vMerge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44" w:type="dxa"/>
          </w:tcPr>
          <w:p w:rsidR="000C1677" w:rsidRPr="000C1677" w:rsidRDefault="000C1677" w:rsidP="00921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1677" w:rsidRPr="001E1485" w:rsidRDefault="000C1677" w:rsidP="000C16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1677" w:rsidRPr="001E1485" w:rsidRDefault="000C1677" w:rsidP="000C16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85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0C1677" w:rsidRPr="001E1485" w:rsidRDefault="001E1485" w:rsidP="001E14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&lt;*&gt; </w:t>
      </w:r>
      <w:r w:rsidR="000C1677" w:rsidRPr="001E14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Представляются в отношении 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ждого инвестиционного проекта</w:t>
      </w:r>
      <w:r w:rsidR="000C1677" w:rsidRPr="001E1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1677" w:rsidRPr="001E14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составе заявки субъекта Российской Федерации. Ответственность за полноту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1677" w:rsidRPr="001E14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представле</w:t>
      </w:r>
      <w:r w:rsidR="000C1677" w:rsidRPr="001E148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C1677" w:rsidRPr="001E1485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сведений возлагается на заявителя.</w:t>
      </w:r>
    </w:p>
    <w:p w:rsidR="000C1677" w:rsidRDefault="000C1677" w:rsidP="001E14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485" w:rsidRPr="001E1485" w:rsidRDefault="001E1485" w:rsidP="001E14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677" w:rsidRPr="001E1485" w:rsidRDefault="000C1677" w:rsidP="001E14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на ____ л. в ___ экз.</w:t>
      </w:r>
    </w:p>
    <w:p w:rsidR="000C1677" w:rsidRDefault="000C1677" w:rsidP="001E14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485" w:rsidRDefault="001E1485" w:rsidP="001E14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485" w:rsidRPr="001E1485" w:rsidRDefault="001E1485" w:rsidP="001E14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677" w:rsidRPr="001E1485" w:rsidRDefault="000C1677" w:rsidP="001E14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8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 _____________________________________  _____________</w:t>
      </w:r>
    </w:p>
    <w:p w:rsidR="000C1677" w:rsidRPr="001E1485" w:rsidRDefault="001E1485" w:rsidP="001E14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</w:t>
      </w:r>
      <w:r w:rsidR="000C1677" w:rsidRPr="001E14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(должность)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</w:t>
      </w:r>
      <w:r w:rsidR="000C1677" w:rsidRPr="001E14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(фамилия, имя, отчество (при наличии)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</w:t>
      </w:r>
      <w:r w:rsidR="000C1677" w:rsidRPr="001E14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(подпись)</w:t>
      </w:r>
    </w:p>
    <w:p w:rsidR="00DA02DC" w:rsidRPr="001E1485" w:rsidRDefault="00DA02DC" w:rsidP="001E1485">
      <w:pPr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C4BE6" w:rsidRPr="001E1485" w:rsidRDefault="001C4BE6" w:rsidP="001E148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C4BE6" w:rsidRPr="001E1485" w:rsidRDefault="001C4BE6" w:rsidP="001E148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sectPr w:rsidR="001C4BE6" w:rsidRPr="001E1485" w:rsidSect="000A4524">
      <w:pgSz w:w="11907" w:h="16840" w:code="9"/>
      <w:pgMar w:top="1134" w:right="567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05C" w:rsidRDefault="00E0305C" w:rsidP="00FE4882">
      <w:pPr>
        <w:spacing w:after="0" w:line="240" w:lineRule="auto"/>
      </w:pPr>
      <w:r>
        <w:separator/>
      </w:r>
    </w:p>
  </w:endnote>
  <w:endnote w:type="continuationSeparator" w:id="0">
    <w:p w:rsidR="00E0305C" w:rsidRDefault="00E0305C" w:rsidP="00FE4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05C" w:rsidRDefault="00E0305C" w:rsidP="00FE4882">
      <w:pPr>
        <w:spacing w:after="0" w:line="240" w:lineRule="auto"/>
      </w:pPr>
      <w:r>
        <w:separator/>
      </w:r>
    </w:p>
  </w:footnote>
  <w:footnote w:type="continuationSeparator" w:id="0">
    <w:p w:rsidR="00E0305C" w:rsidRDefault="00E0305C" w:rsidP="00FE4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6686725"/>
      <w:docPartObj>
        <w:docPartGallery w:val="Page Numbers (Top of Page)"/>
        <w:docPartUnique/>
      </w:docPartObj>
    </w:sdtPr>
    <w:sdtEndPr/>
    <w:sdtContent>
      <w:p w:rsidR="0000676F" w:rsidRDefault="004002D9">
        <w:pPr>
          <w:pStyle w:val="af3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-228600</wp:posOffset>
                  </wp:positionV>
                  <wp:extent cx="2540000" cy="127000"/>
                  <wp:effectExtent l="0" t="0" r="3175" b="0"/>
                  <wp:wrapNone/>
                  <wp:docPr id="5" name="AryanReg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02D9" w:rsidRPr="004002D9" w:rsidRDefault="004002D9" w:rsidP="004002D9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620200099/30765(9)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AryanRegN" o:spid="_x0000_s1027" style="position:absolute;left:0;text-align:left;margin-left:259.95pt;margin-top:-18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xd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" filled="f" stroked="f">
                  <v:textbox inset="0,0,0,0">
                    <w:txbxContent>
                      <w:p w:rsidR="004002D9" w:rsidRPr="004002D9" w:rsidRDefault="004002D9" w:rsidP="004002D9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620200099/30765(9)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00676F">
          <w:fldChar w:fldCharType="begin"/>
        </w:r>
        <w:r w:rsidR="0000676F">
          <w:instrText>PAGE   \* MERGEFORMAT</w:instrText>
        </w:r>
        <w:r w:rsidR="0000676F">
          <w:fldChar w:fldCharType="separate"/>
        </w:r>
        <w:r>
          <w:rPr>
            <w:noProof/>
          </w:rPr>
          <w:t>2</w:t>
        </w:r>
        <w:r w:rsidR="0000676F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3EE8F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8D47A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2E2D1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62C30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904A4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AF693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2455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C2492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F8B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3BAB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A71C33"/>
    <w:multiLevelType w:val="hybridMultilevel"/>
    <w:tmpl w:val="58A664CA"/>
    <w:lvl w:ilvl="0" w:tplc="B44EC3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C687333"/>
    <w:multiLevelType w:val="hybridMultilevel"/>
    <w:tmpl w:val="2BEC6F72"/>
    <w:lvl w:ilvl="0" w:tplc="98A4480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7EAC56BD"/>
    <w:multiLevelType w:val="hybridMultilevel"/>
    <w:tmpl w:val="F33E4FA2"/>
    <w:lvl w:ilvl="0" w:tplc="10DAEE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c528a5a-2ae9-4531-8f66-c67925c908ca"/>
  </w:docVars>
  <w:rsids>
    <w:rsidRoot w:val="00245130"/>
    <w:rsid w:val="0000676F"/>
    <w:rsid w:val="00020240"/>
    <w:rsid w:val="00051E2F"/>
    <w:rsid w:val="00070435"/>
    <w:rsid w:val="000A4524"/>
    <w:rsid w:val="000C1677"/>
    <w:rsid w:val="000E480B"/>
    <w:rsid w:val="00126EF9"/>
    <w:rsid w:val="001543DE"/>
    <w:rsid w:val="0015775F"/>
    <w:rsid w:val="001804B8"/>
    <w:rsid w:val="001B2143"/>
    <w:rsid w:val="001C4BE6"/>
    <w:rsid w:val="001E1485"/>
    <w:rsid w:val="001E6CC3"/>
    <w:rsid w:val="001E6F50"/>
    <w:rsid w:val="001E7BD5"/>
    <w:rsid w:val="001F4B49"/>
    <w:rsid w:val="001F69CA"/>
    <w:rsid w:val="00214AD1"/>
    <w:rsid w:val="00245130"/>
    <w:rsid w:val="00285DD8"/>
    <w:rsid w:val="002A764B"/>
    <w:rsid w:val="002C2125"/>
    <w:rsid w:val="002F216D"/>
    <w:rsid w:val="00300516"/>
    <w:rsid w:val="00324053"/>
    <w:rsid w:val="00355BE9"/>
    <w:rsid w:val="00360F6F"/>
    <w:rsid w:val="003721B3"/>
    <w:rsid w:val="0037331A"/>
    <w:rsid w:val="00377135"/>
    <w:rsid w:val="003D666E"/>
    <w:rsid w:val="004002D9"/>
    <w:rsid w:val="00400ACC"/>
    <w:rsid w:val="00464BB8"/>
    <w:rsid w:val="0046748B"/>
    <w:rsid w:val="00474046"/>
    <w:rsid w:val="00493463"/>
    <w:rsid w:val="0055368A"/>
    <w:rsid w:val="005660BA"/>
    <w:rsid w:val="00581993"/>
    <w:rsid w:val="005968AC"/>
    <w:rsid w:val="005E70C1"/>
    <w:rsid w:val="005F6DA3"/>
    <w:rsid w:val="006112B3"/>
    <w:rsid w:val="00623267"/>
    <w:rsid w:val="00693779"/>
    <w:rsid w:val="006954C6"/>
    <w:rsid w:val="006A28A9"/>
    <w:rsid w:val="006B4288"/>
    <w:rsid w:val="006E5133"/>
    <w:rsid w:val="0070578C"/>
    <w:rsid w:val="00713842"/>
    <w:rsid w:val="00754E8F"/>
    <w:rsid w:val="00761C2B"/>
    <w:rsid w:val="007B308A"/>
    <w:rsid w:val="007B461B"/>
    <w:rsid w:val="007C6B82"/>
    <w:rsid w:val="00825C0B"/>
    <w:rsid w:val="00826F61"/>
    <w:rsid w:val="00843C18"/>
    <w:rsid w:val="008923E2"/>
    <w:rsid w:val="0089720C"/>
    <w:rsid w:val="008A2FED"/>
    <w:rsid w:val="008A41B4"/>
    <w:rsid w:val="008F28B0"/>
    <w:rsid w:val="0092172A"/>
    <w:rsid w:val="0098456D"/>
    <w:rsid w:val="009D177C"/>
    <w:rsid w:val="009D4D3C"/>
    <w:rsid w:val="009F0F54"/>
    <w:rsid w:val="00A043E1"/>
    <w:rsid w:val="00A15449"/>
    <w:rsid w:val="00A75F8E"/>
    <w:rsid w:val="00A946A1"/>
    <w:rsid w:val="00AF472D"/>
    <w:rsid w:val="00AF482C"/>
    <w:rsid w:val="00B21FD5"/>
    <w:rsid w:val="00B53FAE"/>
    <w:rsid w:val="00B5591A"/>
    <w:rsid w:val="00BD6385"/>
    <w:rsid w:val="00C27ABE"/>
    <w:rsid w:val="00C7741D"/>
    <w:rsid w:val="00CB0EAA"/>
    <w:rsid w:val="00CD0ADC"/>
    <w:rsid w:val="00CF5EB7"/>
    <w:rsid w:val="00CF6BAB"/>
    <w:rsid w:val="00D36A6F"/>
    <w:rsid w:val="00D553E7"/>
    <w:rsid w:val="00D70546"/>
    <w:rsid w:val="00D71760"/>
    <w:rsid w:val="00DA02DC"/>
    <w:rsid w:val="00E0305C"/>
    <w:rsid w:val="00E2258F"/>
    <w:rsid w:val="00E24302"/>
    <w:rsid w:val="00E521AC"/>
    <w:rsid w:val="00E5462F"/>
    <w:rsid w:val="00E94EE1"/>
    <w:rsid w:val="00EA312A"/>
    <w:rsid w:val="00EA3DD2"/>
    <w:rsid w:val="00EC1ECB"/>
    <w:rsid w:val="00F160D1"/>
    <w:rsid w:val="00FC2ACB"/>
    <w:rsid w:val="00FE4882"/>
    <w:rsid w:val="00FE6913"/>
    <w:rsid w:val="00FE6D8B"/>
    <w:rsid w:val="00FF1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E488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28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A28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styleId="a3">
    <w:name w:val="Table Grid"/>
    <w:basedOn w:val="a1"/>
    <w:uiPriority w:val="39"/>
    <w:rsid w:val="001C4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6F61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CF6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CF6BA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FE4882"/>
    <w:rPr>
      <w:rFonts w:ascii="Times New Roman" w:eastAsia="Times New Roman" w:hAnsi="Times New Roman" w:cs="Times New Roman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FE4882"/>
  </w:style>
  <w:style w:type="character" w:customStyle="1" w:styleId="a7">
    <w:name w:val="Цветовое выделение"/>
    <w:rsid w:val="00FE4882"/>
    <w:rPr>
      <w:b/>
      <w:color w:val="26282F"/>
    </w:rPr>
  </w:style>
  <w:style w:type="character" w:customStyle="1" w:styleId="a8">
    <w:name w:val="Гипертекстовая ссылка"/>
    <w:rsid w:val="00FE4882"/>
    <w:rPr>
      <w:rFonts w:cs="Times New Roman"/>
      <w:b/>
      <w:color w:val="106BBE"/>
    </w:rPr>
  </w:style>
  <w:style w:type="paragraph" w:customStyle="1" w:styleId="a9">
    <w:name w:val="Текст (справка)"/>
    <w:basedOn w:val="a"/>
    <w:next w:val="a"/>
    <w:rsid w:val="00FE4882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Комментарий"/>
    <w:basedOn w:val="a9"/>
    <w:next w:val="a"/>
    <w:rsid w:val="00FE4882"/>
    <w:pPr>
      <w:spacing w:before="75"/>
      <w:ind w:right="0"/>
      <w:jc w:val="both"/>
    </w:pPr>
    <w:rPr>
      <w:color w:val="353842"/>
    </w:rPr>
  </w:style>
  <w:style w:type="paragraph" w:customStyle="1" w:styleId="ab">
    <w:name w:val="Информация о версии"/>
    <w:basedOn w:val="aa"/>
    <w:next w:val="a"/>
    <w:rsid w:val="00FE4882"/>
    <w:rPr>
      <w:i/>
      <w:iCs/>
    </w:rPr>
  </w:style>
  <w:style w:type="paragraph" w:customStyle="1" w:styleId="ac">
    <w:name w:val="Текст информации об изменениях"/>
    <w:basedOn w:val="a"/>
    <w:next w:val="a"/>
    <w:rsid w:val="00FE488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20"/>
      <w:szCs w:val="20"/>
      <w:lang w:eastAsia="ru-RU"/>
    </w:rPr>
  </w:style>
  <w:style w:type="paragraph" w:customStyle="1" w:styleId="ad">
    <w:name w:val="Информация об изменениях"/>
    <w:basedOn w:val="ac"/>
    <w:next w:val="a"/>
    <w:rsid w:val="00FE4882"/>
    <w:pPr>
      <w:spacing w:before="180"/>
      <w:ind w:left="360" w:right="360" w:firstLine="0"/>
    </w:pPr>
  </w:style>
  <w:style w:type="paragraph" w:customStyle="1" w:styleId="ae">
    <w:name w:val="Нормальный (таблица)"/>
    <w:basedOn w:val="a"/>
    <w:next w:val="a"/>
    <w:rsid w:val="00FE48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Таблицы (моноширинный)"/>
    <w:basedOn w:val="a"/>
    <w:next w:val="a"/>
    <w:rsid w:val="00FE48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0">
    <w:name w:val="Подзаголовок для информации об изменениях"/>
    <w:basedOn w:val="ac"/>
    <w:next w:val="a"/>
    <w:rsid w:val="00FE4882"/>
    <w:rPr>
      <w:b/>
      <w:bCs/>
    </w:rPr>
  </w:style>
  <w:style w:type="paragraph" w:customStyle="1" w:styleId="af1">
    <w:name w:val="Прижатый влево"/>
    <w:basedOn w:val="a"/>
    <w:next w:val="a"/>
    <w:rsid w:val="00FE48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 для Текст"/>
    <w:rsid w:val="00FE4882"/>
    <w:rPr>
      <w:rFonts w:ascii="Times New Roman" w:hAnsi="Times New Roman"/>
    </w:rPr>
  </w:style>
  <w:style w:type="paragraph" w:styleId="af3">
    <w:name w:val="header"/>
    <w:basedOn w:val="a"/>
    <w:link w:val="af4"/>
    <w:uiPriority w:val="99"/>
    <w:rsid w:val="00FE488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FE4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rsid w:val="00FE488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rsid w:val="00FE4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FE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Emphasis"/>
    <w:qFormat/>
    <w:rsid w:val="00FE4882"/>
    <w:rPr>
      <w:rFonts w:cs="Times New Roman"/>
      <w:i/>
    </w:rPr>
  </w:style>
  <w:style w:type="paragraph" w:customStyle="1" w:styleId="s1">
    <w:name w:val="s_1"/>
    <w:basedOn w:val="a"/>
    <w:rsid w:val="00FE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semiHidden/>
    <w:rsid w:val="00FE4882"/>
    <w:rPr>
      <w:rFonts w:cs="Times New Roman"/>
      <w:color w:val="0000FF"/>
      <w:u w:val="single"/>
    </w:rPr>
  </w:style>
  <w:style w:type="character" w:styleId="af9">
    <w:name w:val="page number"/>
    <w:basedOn w:val="a0"/>
    <w:rsid w:val="00FE4882"/>
  </w:style>
  <w:style w:type="paragraph" w:customStyle="1" w:styleId="ConsPlusNonformat">
    <w:name w:val="ConsPlusNonformat"/>
    <w:uiPriority w:val="99"/>
    <w:rsid w:val="00FE48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No Spacing"/>
    <w:uiPriority w:val="1"/>
    <w:qFormat/>
    <w:rsid w:val="007B30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E488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28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A28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styleId="a3">
    <w:name w:val="Table Grid"/>
    <w:basedOn w:val="a1"/>
    <w:uiPriority w:val="39"/>
    <w:rsid w:val="001C4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6F61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CF6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CF6BA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FE4882"/>
    <w:rPr>
      <w:rFonts w:ascii="Times New Roman" w:eastAsia="Times New Roman" w:hAnsi="Times New Roman" w:cs="Times New Roman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FE4882"/>
  </w:style>
  <w:style w:type="character" w:customStyle="1" w:styleId="a7">
    <w:name w:val="Цветовое выделение"/>
    <w:rsid w:val="00FE4882"/>
    <w:rPr>
      <w:b/>
      <w:color w:val="26282F"/>
    </w:rPr>
  </w:style>
  <w:style w:type="character" w:customStyle="1" w:styleId="a8">
    <w:name w:val="Гипертекстовая ссылка"/>
    <w:rsid w:val="00FE4882"/>
    <w:rPr>
      <w:rFonts w:cs="Times New Roman"/>
      <w:b/>
      <w:color w:val="106BBE"/>
    </w:rPr>
  </w:style>
  <w:style w:type="paragraph" w:customStyle="1" w:styleId="a9">
    <w:name w:val="Текст (справка)"/>
    <w:basedOn w:val="a"/>
    <w:next w:val="a"/>
    <w:rsid w:val="00FE4882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Комментарий"/>
    <w:basedOn w:val="a9"/>
    <w:next w:val="a"/>
    <w:rsid w:val="00FE4882"/>
    <w:pPr>
      <w:spacing w:before="75"/>
      <w:ind w:right="0"/>
      <w:jc w:val="both"/>
    </w:pPr>
    <w:rPr>
      <w:color w:val="353842"/>
    </w:rPr>
  </w:style>
  <w:style w:type="paragraph" w:customStyle="1" w:styleId="ab">
    <w:name w:val="Информация о версии"/>
    <w:basedOn w:val="aa"/>
    <w:next w:val="a"/>
    <w:rsid w:val="00FE4882"/>
    <w:rPr>
      <w:i/>
      <w:iCs/>
    </w:rPr>
  </w:style>
  <w:style w:type="paragraph" w:customStyle="1" w:styleId="ac">
    <w:name w:val="Текст информации об изменениях"/>
    <w:basedOn w:val="a"/>
    <w:next w:val="a"/>
    <w:rsid w:val="00FE488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20"/>
      <w:szCs w:val="20"/>
      <w:lang w:eastAsia="ru-RU"/>
    </w:rPr>
  </w:style>
  <w:style w:type="paragraph" w:customStyle="1" w:styleId="ad">
    <w:name w:val="Информация об изменениях"/>
    <w:basedOn w:val="ac"/>
    <w:next w:val="a"/>
    <w:rsid w:val="00FE4882"/>
    <w:pPr>
      <w:spacing w:before="180"/>
      <w:ind w:left="360" w:right="360" w:firstLine="0"/>
    </w:pPr>
  </w:style>
  <w:style w:type="paragraph" w:customStyle="1" w:styleId="ae">
    <w:name w:val="Нормальный (таблица)"/>
    <w:basedOn w:val="a"/>
    <w:next w:val="a"/>
    <w:rsid w:val="00FE48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Таблицы (моноширинный)"/>
    <w:basedOn w:val="a"/>
    <w:next w:val="a"/>
    <w:rsid w:val="00FE48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0">
    <w:name w:val="Подзаголовок для информации об изменениях"/>
    <w:basedOn w:val="ac"/>
    <w:next w:val="a"/>
    <w:rsid w:val="00FE4882"/>
    <w:rPr>
      <w:b/>
      <w:bCs/>
    </w:rPr>
  </w:style>
  <w:style w:type="paragraph" w:customStyle="1" w:styleId="af1">
    <w:name w:val="Прижатый влево"/>
    <w:basedOn w:val="a"/>
    <w:next w:val="a"/>
    <w:rsid w:val="00FE48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 для Текст"/>
    <w:rsid w:val="00FE4882"/>
    <w:rPr>
      <w:rFonts w:ascii="Times New Roman" w:hAnsi="Times New Roman"/>
    </w:rPr>
  </w:style>
  <w:style w:type="paragraph" w:styleId="af3">
    <w:name w:val="header"/>
    <w:basedOn w:val="a"/>
    <w:link w:val="af4"/>
    <w:uiPriority w:val="99"/>
    <w:rsid w:val="00FE488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FE4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rsid w:val="00FE488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rsid w:val="00FE4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FE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Emphasis"/>
    <w:qFormat/>
    <w:rsid w:val="00FE4882"/>
    <w:rPr>
      <w:rFonts w:cs="Times New Roman"/>
      <w:i/>
    </w:rPr>
  </w:style>
  <w:style w:type="paragraph" w:customStyle="1" w:styleId="s1">
    <w:name w:val="s_1"/>
    <w:basedOn w:val="a"/>
    <w:rsid w:val="00FE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semiHidden/>
    <w:rsid w:val="00FE4882"/>
    <w:rPr>
      <w:rFonts w:cs="Times New Roman"/>
      <w:color w:val="0000FF"/>
      <w:u w:val="single"/>
    </w:rPr>
  </w:style>
  <w:style w:type="character" w:styleId="af9">
    <w:name w:val="page number"/>
    <w:basedOn w:val="a0"/>
    <w:rsid w:val="00FE4882"/>
  </w:style>
  <w:style w:type="paragraph" w:customStyle="1" w:styleId="ConsPlusNonformat">
    <w:name w:val="ConsPlusNonformat"/>
    <w:uiPriority w:val="99"/>
    <w:rsid w:val="00FE48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No Spacing"/>
    <w:uiPriority w:val="1"/>
    <w:qFormat/>
    <w:rsid w:val="007B30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1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500833&amp;date=14.04.20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500833&amp;date=14.04.2025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500833&amp;date=14.04.2025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E8F67-FCEB-4B10-B0BF-0C41F6DC1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4450</Words>
  <Characters>25366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2025-04-17T08:49:00Z</cp:lastPrinted>
  <dcterms:created xsi:type="dcterms:W3CDTF">2025-04-17T08:50:00Z</dcterms:created>
  <dcterms:modified xsi:type="dcterms:W3CDTF">2025-04-17T08:50:00Z</dcterms:modified>
</cp:coreProperties>
</file>