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65" w:rsidRDefault="00A40765" w:rsidP="00A4076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40765" w:rsidRDefault="00A40765" w:rsidP="00A4076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40765" w:rsidRDefault="00A40765" w:rsidP="00A4076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40765" w:rsidRPr="005347C3" w:rsidRDefault="00A40765" w:rsidP="00A407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A40765" w:rsidRPr="004C14FF" w:rsidRDefault="00A40765" w:rsidP="00A4076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291E39" w:rsidRDefault="00291E39" w:rsidP="00291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C97" w:rsidRDefault="00E97C97" w:rsidP="00291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E39" w:rsidRDefault="00E97C97" w:rsidP="00E97C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февраля 2025 г. № 110-р</w:t>
      </w:r>
    </w:p>
    <w:p w:rsidR="00291E39" w:rsidRDefault="00E97C97" w:rsidP="00E97C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291E39" w:rsidRPr="00291E39" w:rsidRDefault="00291E39" w:rsidP="00291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E39" w:rsidRDefault="000125B8" w:rsidP="00291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E39">
        <w:rPr>
          <w:rFonts w:ascii="Times New Roman" w:hAnsi="Times New Roman" w:cs="Times New Roman"/>
          <w:b/>
          <w:sz w:val="28"/>
          <w:szCs w:val="28"/>
        </w:rPr>
        <w:t>Об утверждении Основных направлений</w:t>
      </w:r>
    </w:p>
    <w:p w:rsidR="00126244" w:rsidRDefault="000125B8" w:rsidP="00291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E39">
        <w:rPr>
          <w:rFonts w:ascii="Times New Roman" w:hAnsi="Times New Roman" w:cs="Times New Roman"/>
          <w:b/>
          <w:sz w:val="28"/>
          <w:szCs w:val="28"/>
        </w:rPr>
        <w:t xml:space="preserve"> долговой политики</w:t>
      </w:r>
      <w:r w:rsidR="00291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E39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</w:p>
    <w:p w:rsidR="00126244" w:rsidRDefault="000125B8" w:rsidP="00291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E39">
        <w:rPr>
          <w:rFonts w:ascii="Times New Roman" w:hAnsi="Times New Roman" w:cs="Times New Roman"/>
          <w:b/>
          <w:sz w:val="28"/>
          <w:szCs w:val="28"/>
        </w:rPr>
        <w:t>на 202</w:t>
      </w:r>
      <w:r w:rsidR="008E50C1" w:rsidRPr="00291E39">
        <w:rPr>
          <w:rFonts w:ascii="Times New Roman" w:hAnsi="Times New Roman" w:cs="Times New Roman"/>
          <w:b/>
          <w:sz w:val="28"/>
          <w:szCs w:val="28"/>
        </w:rPr>
        <w:t>5</w:t>
      </w:r>
      <w:r w:rsidRPr="00291E3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</w:t>
      </w:r>
    </w:p>
    <w:p w:rsidR="000125B8" w:rsidRPr="00291E39" w:rsidRDefault="000125B8" w:rsidP="00291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E3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E50C1" w:rsidRPr="00291E39">
        <w:rPr>
          <w:rFonts w:ascii="Times New Roman" w:hAnsi="Times New Roman" w:cs="Times New Roman"/>
          <w:b/>
          <w:sz w:val="28"/>
          <w:szCs w:val="28"/>
        </w:rPr>
        <w:t>6</w:t>
      </w:r>
      <w:r w:rsidRPr="00291E3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E50C1" w:rsidRPr="00291E39">
        <w:rPr>
          <w:rFonts w:ascii="Times New Roman" w:hAnsi="Times New Roman" w:cs="Times New Roman"/>
          <w:b/>
          <w:sz w:val="28"/>
          <w:szCs w:val="28"/>
        </w:rPr>
        <w:t>7</w:t>
      </w:r>
      <w:r w:rsidRPr="00291E3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C611DC" w:rsidRDefault="00C611DC" w:rsidP="00291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E39" w:rsidRPr="00291E39" w:rsidRDefault="00291E39" w:rsidP="00291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1DC" w:rsidRDefault="00C611DC" w:rsidP="00291E3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E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291E39">
          <w:rPr>
            <w:rFonts w:ascii="Times New Roman" w:hAnsi="Times New Roman" w:cs="Times New Roman"/>
            <w:sz w:val="28"/>
            <w:szCs w:val="28"/>
          </w:rPr>
          <w:t>пунктом 13 статьи 107.1</w:t>
        </w:r>
      </w:hyperlink>
      <w:r w:rsidRPr="00291E3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Федерации:</w:t>
      </w:r>
    </w:p>
    <w:p w:rsidR="00291E39" w:rsidRPr="00291E39" w:rsidRDefault="00291E39" w:rsidP="00291E3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1DC" w:rsidRPr="00291E39" w:rsidRDefault="00C611DC" w:rsidP="00291E3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E39">
        <w:rPr>
          <w:rFonts w:ascii="Times New Roman" w:hAnsi="Times New Roman" w:cs="Times New Roman"/>
          <w:sz w:val="28"/>
          <w:szCs w:val="28"/>
        </w:rPr>
        <w:t xml:space="preserve">1. Утвердить прилагаемые Основные </w:t>
      </w:r>
      <w:hyperlink w:anchor="P27">
        <w:r w:rsidRPr="00291E39">
          <w:rPr>
            <w:rFonts w:ascii="Times New Roman" w:hAnsi="Times New Roman" w:cs="Times New Roman"/>
            <w:sz w:val="28"/>
            <w:szCs w:val="28"/>
          </w:rPr>
          <w:t>направления</w:t>
        </w:r>
      </w:hyperlink>
      <w:r w:rsidRPr="00291E39">
        <w:rPr>
          <w:rFonts w:ascii="Times New Roman" w:hAnsi="Times New Roman" w:cs="Times New Roman"/>
          <w:sz w:val="28"/>
          <w:szCs w:val="28"/>
        </w:rPr>
        <w:t xml:space="preserve"> долговой политики Республики Тыва на 202</w:t>
      </w:r>
      <w:r w:rsidR="00F722CD" w:rsidRPr="00291E39">
        <w:rPr>
          <w:rFonts w:ascii="Times New Roman" w:hAnsi="Times New Roman" w:cs="Times New Roman"/>
          <w:sz w:val="28"/>
          <w:szCs w:val="28"/>
        </w:rPr>
        <w:t>5</w:t>
      </w:r>
      <w:r w:rsidRPr="00291E3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722CD" w:rsidRPr="00291E39">
        <w:rPr>
          <w:rFonts w:ascii="Times New Roman" w:hAnsi="Times New Roman" w:cs="Times New Roman"/>
          <w:sz w:val="28"/>
          <w:szCs w:val="28"/>
        </w:rPr>
        <w:t>6</w:t>
      </w:r>
      <w:r w:rsidRPr="00291E39">
        <w:rPr>
          <w:rFonts w:ascii="Times New Roman" w:hAnsi="Times New Roman" w:cs="Times New Roman"/>
          <w:sz w:val="28"/>
          <w:szCs w:val="28"/>
        </w:rPr>
        <w:t xml:space="preserve"> и 202</w:t>
      </w:r>
      <w:r w:rsidR="00F722CD" w:rsidRPr="00291E39">
        <w:rPr>
          <w:rFonts w:ascii="Times New Roman" w:hAnsi="Times New Roman" w:cs="Times New Roman"/>
          <w:sz w:val="28"/>
          <w:szCs w:val="28"/>
        </w:rPr>
        <w:t>7</w:t>
      </w:r>
      <w:r w:rsidRPr="00291E3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611DC" w:rsidRPr="00291E39" w:rsidRDefault="00C611DC" w:rsidP="00291E3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E39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8">
        <w:r w:rsidRPr="00291E39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291E39">
        <w:rPr>
          <w:rFonts w:ascii="Times New Roman" w:hAnsi="Times New Roman" w:cs="Times New Roman"/>
          <w:sz w:val="28"/>
          <w:szCs w:val="28"/>
        </w:rPr>
        <w:t xml:space="preserve"> Пра</w:t>
      </w:r>
      <w:r w:rsidR="00174F52" w:rsidRPr="00291E39">
        <w:rPr>
          <w:rFonts w:ascii="Times New Roman" w:hAnsi="Times New Roman" w:cs="Times New Roman"/>
          <w:sz w:val="28"/>
          <w:szCs w:val="28"/>
        </w:rPr>
        <w:t xml:space="preserve">вительства Республики Тыва </w:t>
      </w:r>
      <w:r w:rsidR="00645F76" w:rsidRPr="00291E39">
        <w:rPr>
          <w:rFonts w:ascii="Times New Roman" w:hAnsi="Times New Roman" w:cs="Times New Roman"/>
          <w:sz w:val="28"/>
          <w:szCs w:val="28"/>
        </w:rPr>
        <w:t xml:space="preserve">от 28 февраля 2024 </w:t>
      </w:r>
      <w:r w:rsidR="00291E39">
        <w:rPr>
          <w:rFonts w:ascii="Times New Roman" w:hAnsi="Times New Roman" w:cs="Times New Roman"/>
          <w:sz w:val="28"/>
          <w:szCs w:val="28"/>
        </w:rPr>
        <w:t xml:space="preserve">г. </w:t>
      </w:r>
      <w:r w:rsidR="00645F76" w:rsidRPr="00291E39">
        <w:rPr>
          <w:rFonts w:ascii="Times New Roman" w:hAnsi="Times New Roman" w:cs="Times New Roman"/>
          <w:sz w:val="28"/>
          <w:szCs w:val="28"/>
        </w:rPr>
        <w:t>№ 94-р</w:t>
      </w:r>
      <w:r w:rsidR="00174F52" w:rsidRPr="00291E39">
        <w:rPr>
          <w:rFonts w:ascii="Times New Roman" w:hAnsi="Times New Roman" w:cs="Times New Roman"/>
          <w:sz w:val="28"/>
          <w:szCs w:val="28"/>
        </w:rPr>
        <w:t xml:space="preserve"> «Об утверждении Основных направлений долговой политики Республики Тыва на 202</w:t>
      </w:r>
      <w:r w:rsidR="00645F76" w:rsidRPr="00291E39">
        <w:rPr>
          <w:rFonts w:ascii="Times New Roman" w:hAnsi="Times New Roman" w:cs="Times New Roman"/>
          <w:sz w:val="28"/>
          <w:szCs w:val="28"/>
        </w:rPr>
        <w:t>4</w:t>
      </w:r>
      <w:r w:rsidR="00174F52" w:rsidRPr="00291E3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45F76" w:rsidRPr="00291E39">
        <w:rPr>
          <w:rFonts w:ascii="Times New Roman" w:hAnsi="Times New Roman" w:cs="Times New Roman"/>
          <w:sz w:val="28"/>
          <w:szCs w:val="28"/>
        </w:rPr>
        <w:t>5</w:t>
      </w:r>
      <w:r w:rsidR="00174F52" w:rsidRPr="00291E39">
        <w:rPr>
          <w:rFonts w:ascii="Times New Roman" w:hAnsi="Times New Roman" w:cs="Times New Roman"/>
          <w:sz w:val="28"/>
          <w:szCs w:val="28"/>
        </w:rPr>
        <w:t xml:space="preserve"> и 202</w:t>
      </w:r>
      <w:r w:rsidR="00645F76" w:rsidRPr="00291E39">
        <w:rPr>
          <w:rFonts w:ascii="Times New Roman" w:hAnsi="Times New Roman" w:cs="Times New Roman"/>
          <w:sz w:val="28"/>
          <w:szCs w:val="28"/>
        </w:rPr>
        <w:t xml:space="preserve">6 </w:t>
      </w:r>
      <w:r w:rsidR="00174F52" w:rsidRPr="00291E39">
        <w:rPr>
          <w:rFonts w:ascii="Times New Roman" w:hAnsi="Times New Roman" w:cs="Times New Roman"/>
          <w:sz w:val="28"/>
          <w:szCs w:val="28"/>
        </w:rPr>
        <w:t>годов»</w:t>
      </w:r>
      <w:r w:rsidRPr="00291E39">
        <w:rPr>
          <w:rFonts w:ascii="Times New Roman" w:hAnsi="Times New Roman" w:cs="Times New Roman"/>
          <w:sz w:val="28"/>
          <w:szCs w:val="28"/>
        </w:rPr>
        <w:t>.</w:t>
      </w:r>
    </w:p>
    <w:p w:rsidR="00C611DC" w:rsidRPr="00291E39" w:rsidRDefault="00C611DC" w:rsidP="00291E3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E39">
        <w:rPr>
          <w:rFonts w:ascii="Times New Roman" w:hAnsi="Times New Roman" w:cs="Times New Roman"/>
          <w:sz w:val="28"/>
          <w:szCs w:val="28"/>
        </w:rPr>
        <w:t>3. Разместить настоящее распоряжение на официальном сайте Республики Тыва в информаци</w:t>
      </w:r>
      <w:r w:rsidR="00872A5F" w:rsidRPr="00291E39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291E39">
        <w:rPr>
          <w:rFonts w:ascii="Times New Roman" w:hAnsi="Times New Roman" w:cs="Times New Roman"/>
          <w:sz w:val="28"/>
          <w:szCs w:val="28"/>
        </w:rPr>
        <w:t>Интернет</w:t>
      </w:r>
      <w:r w:rsidR="00872A5F" w:rsidRPr="00291E39">
        <w:rPr>
          <w:rFonts w:ascii="Times New Roman" w:hAnsi="Times New Roman" w:cs="Times New Roman"/>
          <w:sz w:val="28"/>
          <w:szCs w:val="28"/>
        </w:rPr>
        <w:t>»</w:t>
      </w:r>
      <w:r w:rsidRPr="00291E39">
        <w:rPr>
          <w:rFonts w:ascii="Times New Roman" w:hAnsi="Times New Roman" w:cs="Times New Roman"/>
          <w:sz w:val="28"/>
          <w:szCs w:val="28"/>
        </w:rPr>
        <w:t>.</w:t>
      </w:r>
    </w:p>
    <w:p w:rsidR="00C611DC" w:rsidRPr="00291E39" w:rsidRDefault="00C611DC" w:rsidP="00291E39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174F52" w:rsidRPr="00291E39" w:rsidRDefault="00174F52" w:rsidP="00291E39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174F52" w:rsidRPr="00291E39" w:rsidRDefault="00174F52" w:rsidP="00291E39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0125B8" w:rsidRPr="00291E39" w:rsidRDefault="000125B8" w:rsidP="00291E39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291E39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</w:t>
      </w:r>
      <w:r w:rsidR="00D75CE4" w:rsidRPr="00291E3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1E39">
        <w:rPr>
          <w:rFonts w:ascii="Times New Roman" w:hAnsi="Times New Roman" w:cs="Times New Roman"/>
          <w:sz w:val="28"/>
          <w:szCs w:val="28"/>
        </w:rPr>
        <w:t xml:space="preserve">                                          В. </w:t>
      </w:r>
      <w:proofErr w:type="spellStart"/>
      <w:r w:rsidRPr="00291E39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C611DC" w:rsidRPr="00662FED" w:rsidRDefault="00C611DC" w:rsidP="00174F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11DC" w:rsidRPr="00662FED" w:rsidRDefault="00C611DC" w:rsidP="00174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5B8" w:rsidRPr="00662FED" w:rsidRDefault="000125B8" w:rsidP="00174F5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0125B8" w:rsidRPr="00662FED" w:rsidSect="0012624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611DC" w:rsidRPr="00291E39" w:rsidRDefault="00C611DC" w:rsidP="00291E39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1E39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C611DC" w:rsidRPr="00291E39" w:rsidRDefault="00C611DC" w:rsidP="00291E39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91E39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C611DC" w:rsidRPr="00291E39" w:rsidRDefault="00C611DC" w:rsidP="00291E39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91E39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611DC" w:rsidRPr="00291E39" w:rsidRDefault="00E97C97" w:rsidP="00291E39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февраля 2025 г. № 110-р</w:t>
      </w:r>
    </w:p>
    <w:p w:rsidR="000125B8" w:rsidRDefault="000125B8" w:rsidP="00291E39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1" w:name="P27"/>
      <w:bookmarkEnd w:id="1"/>
    </w:p>
    <w:p w:rsidR="00291E39" w:rsidRPr="00291E39" w:rsidRDefault="00291E39" w:rsidP="00291E39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91E39" w:rsidRDefault="00291E39" w:rsidP="00291E39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91E3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ОСНОВНЫЕ НАПРАВЛЕНИЯ</w:t>
      </w:r>
    </w:p>
    <w:p w:rsidR="00291E39" w:rsidRDefault="000125B8" w:rsidP="00291E39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1E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долговой политики</w:t>
      </w:r>
      <w:r w:rsidR="00291E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1E39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Республики Тыва на 202</w:t>
      </w:r>
      <w:r w:rsidR="00C1687D" w:rsidRPr="00291E39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291E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</w:t>
      </w:r>
    </w:p>
    <w:p w:rsidR="00C611DC" w:rsidRPr="00291E39" w:rsidRDefault="000125B8" w:rsidP="00291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91E39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плановый период 202</w:t>
      </w:r>
      <w:r w:rsidR="00C1687D" w:rsidRPr="00291E39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291E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202</w:t>
      </w:r>
      <w:r w:rsidR="00C1687D" w:rsidRPr="00291E3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291E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</w:t>
      </w:r>
    </w:p>
    <w:p w:rsidR="00C611DC" w:rsidRPr="00291E39" w:rsidRDefault="00C611DC" w:rsidP="00291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1DC" w:rsidRPr="00291E39" w:rsidRDefault="00C611DC" w:rsidP="00291E3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91E39">
        <w:rPr>
          <w:rFonts w:ascii="Times New Roman" w:hAnsi="Times New Roman" w:cs="Times New Roman"/>
          <w:b w:val="0"/>
          <w:sz w:val="28"/>
          <w:szCs w:val="28"/>
        </w:rPr>
        <w:t>1. Основные положения</w:t>
      </w:r>
    </w:p>
    <w:p w:rsidR="00C611DC" w:rsidRPr="00291E39" w:rsidRDefault="00C611DC" w:rsidP="00291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Долговая политика Республики Тыва является составной частью бюджетной политики, непосредственно связана с бюджетным процессом Республики Тыва и представляет собой совокупность мероприятий по обеспечению потребности республики в заемном финансировании, своевременном и полном исполнении долговых обязательств при минимизации расходов по долгу, поддержании объема и структуры обязательств на безопасном уровне.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Долговая политика Республики Тыва (далее </w:t>
      </w:r>
      <w:r w:rsidR="00EC330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долговая политика) определяет цели, а также основные задачи, риски и направления деятельности по управлению государственным долгом Республики Тыва на 202</w:t>
      </w:r>
      <w:r w:rsidR="00861A10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861A10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861A10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годов.</w:t>
      </w:r>
    </w:p>
    <w:p w:rsidR="00ED67B5" w:rsidRPr="00291E39" w:rsidRDefault="00ED67B5" w:rsidP="00291E3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611DC" w:rsidRPr="00291E39" w:rsidRDefault="00C611DC" w:rsidP="00EC3308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Итоги реализации долговой политики в 202</w:t>
      </w:r>
      <w:r w:rsidR="00861A10" w:rsidRPr="00291E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291E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году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5189" w:rsidRPr="00291E39" w:rsidRDefault="00872A5F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74F52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6741E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611DC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обеспечение выполнения </w:t>
      </w:r>
      <w:r w:rsidR="00C611DC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бюджетного законодательства по предельному размеру дефицита и предельному уровню государственного долга с учетом установленных изменений бюджетного законодательства </w:t>
      </w:r>
      <w:r w:rsidR="0085459D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ухудшением геополитической и экономической ситуации</w:t>
      </w:r>
      <w:r w:rsidR="00501303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611DC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привлечением инфраструктурных бюджетных кредитов</w:t>
      </w:r>
      <w:r w:rsidR="00427458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1FAF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устано</w:t>
      </w:r>
      <w:r w:rsidR="00174F52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влены случаи, при которых в 202</w:t>
      </w:r>
      <w:r w:rsidR="004F23D1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размер дефицита республиканского бюджета Республики Тыва, объем государственного долга и общий объем долговых обязательств по рыночным заимствованиям могут превысить </w:t>
      </w:r>
      <w:r w:rsidR="00CD1159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сумму инфраструктурных бюджетных кредитов</w:t>
      </w:r>
      <w:r w:rsidR="00294197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, бюджетного кредита на реализацию мероприятий с опережением установленного графика выполнения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объем высвобождаемых средств</w:t>
      </w:r>
      <w:r w:rsidR="0031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6AD" w:rsidRPr="003176AD">
        <w:rPr>
          <w:rFonts w:ascii="Times New Roman" w:hAnsi="Times New Roman" w:cs="Times New Roman"/>
          <w:sz w:val="28"/>
          <w:szCs w:val="28"/>
        </w:rPr>
        <w:t>в результате реструктуризации бюджетных кредитов</w:t>
      </w:r>
      <w:r w:rsidRPr="003176AD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направленных на: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реализацию новых инвестиционных проектов;</w:t>
      </w:r>
    </w:p>
    <w:p w:rsidR="0010451A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0451A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и дополнительных мероприятий в сфере национальной обороны и национальной безопасности, включая осуществление мер социальной поддержки отдельных категорий граждан;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</w:t>
      </w:r>
      <w:r w:rsidR="0010451A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мероприятий, связанных с оказанием содействия в подготовке и проведении выборов Президента Российской Федерации;</w:t>
      </w:r>
    </w:p>
    <w:p w:rsidR="00A94936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реализацию региональных проектов, обеспечивающих достижение целей, показателей и р</w:t>
      </w:r>
      <w:r w:rsidR="00A5131E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езультатов федеральных проектов.</w:t>
      </w:r>
    </w:p>
    <w:p w:rsidR="00A81ED9" w:rsidRPr="00291E39" w:rsidRDefault="00872A5F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</w:t>
      </w:r>
      <w:r w:rsidR="00294197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61A10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94197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г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осударственный долг Республики Тыва </w:t>
      </w:r>
      <w:r w:rsidR="00EC559C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составил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A10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6 </w:t>
      </w:r>
      <w:r w:rsidR="00EC559C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037</w:t>
      </w:r>
      <w:r w:rsidR="00861A10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млн. рублей или </w:t>
      </w:r>
      <w:r w:rsidR="00F85C5E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C559C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C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C559C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утвержденного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объема налоговых и неналоговых доходов</w:t>
      </w:r>
      <w:r w:rsidR="009260A9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F4586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соответствует </w:t>
      </w:r>
      <w:r w:rsidR="007957DB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бюджетному законодательству с учетом установленн</w:t>
      </w:r>
      <w:r w:rsidR="003B1B0C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7957DB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1CF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Бюджетным кодексом Российской Федерации </w:t>
      </w:r>
      <w:r w:rsidR="00D9393A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возможного превышения на объем инфраструктурных бюджетных кредитов.</w:t>
      </w:r>
    </w:p>
    <w:p w:rsidR="00FE27FD" w:rsidRPr="00291E39" w:rsidRDefault="00005FD0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выполняются условия по </w:t>
      </w:r>
      <w:r w:rsidR="00060C29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целевым показателям</w:t>
      </w:r>
      <w:r w:rsidR="006B7530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установленным </w:t>
      </w:r>
      <w:r w:rsidR="006B5CDA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A5131E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заключенными с</w:t>
      </w:r>
      <w:r w:rsidR="00060C29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</w:t>
      </w:r>
      <w:r w:rsidR="006B7530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ми с М</w:t>
      </w:r>
      <w:r w:rsidR="00731BC4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инфином России,</w:t>
      </w:r>
      <w:r w:rsidR="00060C29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52EB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в рамках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возможных превышений на суммы реализации региональных проектов, обеспечивающих достижение целей, показателей и результатов федеральных проектов, дополнительных мероприятий в сфере национальной обороны и национальной безопасности, включая осуществление мер социальной поддержки отдельных категорий граждан.</w:t>
      </w:r>
    </w:p>
    <w:p w:rsidR="00994211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сбалансированности республиканского бюджета, покрытия временных кассовых разрывов, возникающих при исполнении республиканского бюджета, привлечен бюджетный кредит на пополнение остатков средств на едином счете бюджета в сумме </w:t>
      </w:r>
      <w:r w:rsidR="007916AA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1 269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рублей. </w:t>
      </w:r>
      <w:r w:rsidR="00994211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Долговое обязательство по данному кредиту исполнено своевременно и в полном объеме.</w:t>
      </w:r>
    </w:p>
    <w:p w:rsidR="00F506E3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Также для обеспечения ликвидности счета республиканского бюджета использовался механизм привлечения в бюджет временно свободных остатков средств бюджетных и а</w:t>
      </w:r>
      <w:r w:rsidR="00764979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втономных учреждений республики, получателей средств из бюджета, участников казначейского сопровождения.</w:t>
      </w:r>
    </w:p>
    <w:p w:rsidR="00A929B9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оказания мер государственной поддержки стимулирования инвестиционной деятельности и социально-экономического развития регионов привлечен бюджетный кредит на финансовое обеспечение реализации инфраструктурных проектов (далее </w:t>
      </w:r>
      <w:r w:rsidR="00EC330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инфраструктурные бюджетные кредиты), отобранных в порядке, установленном Правительством Российской Федерации. Бюджету Республики Тыва распределен инфраструктурный бюджетный кредит в </w:t>
      </w:r>
      <w:r w:rsidR="00AD5CE5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общей </w:t>
      </w:r>
      <w:r w:rsidR="00D75CE4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сумме 1 332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рублей, на сумму которого Республикой Тыва защищены ч</w:t>
      </w:r>
      <w:r w:rsidR="00B00787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етыре инфраструктурных проекта. 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инфраструктурных бюджетных кредитов позволит осуществить финансирование проектов в приоритетных инфраструктурных сегментах, а также обеспечит экономию бюджетных средств на обслуживание государственного долга.</w:t>
      </w:r>
    </w:p>
    <w:p w:rsidR="00D23B5D" w:rsidRPr="00291E39" w:rsidRDefault="005B70B3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CE6D2B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о статьей 11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3B8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CE6D2B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123B8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CE6D2B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C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ноября </w:t>
      </w:r>
      <w:r w:rsidR="008123B8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="00EC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          </w:t>
      </w:r>
      <w:r w:rsidR="008123B8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№ 540-ФЗ «О федеральном бюджете на 2024 год и на плановый период 2025 и 2026 годов»</w:t>
      </w:r>
      <w:r w:rsidR="00052ED7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52ED7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B495D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D7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proofErr w:type="gramEnd"/>
      <w:r w:rsidR="00052ED7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исходя из действующих на 1 марта 2024 г. </w:t>
      </w:r>
      <w:r w:rsidR="008B6854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графиков погашения задолженности по бюджетным кредитам в общей сумме 95 млн. рублей </w:t>
      </w:r>
      <w:r w:rsidR="00DB495D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исключением </w:t>
      </w:r>
      <w:r w:rsidR="008F137B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по бюджетным кредитам, предоставленным на финансовое обеспечение реализации инфраструктурных проектов</w:t>
      </w:r>
      <w:r w:rsidR="00A302F5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8F137B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пополнение остатка </w:t>
      </w:r>
      <w:r w:rsidR="00A302F5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средств на едином счете бюджета</w:t>
      </w:r>
      <w:r w:rsidR="00D37BDF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F137B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1F3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перенесено на 2025 г. в сумме 63 млн. рублей</w:t>
      </w:r>
      <w:r w:rsidR="005B3441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(две трети задолженности)</w:t>
      </w:r>
      <w:r w:rsidR="00CE11F3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4012" w:rsidRPr="00291E39" w:rsidRDefault="007E4EDD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Указанная задолженн</w:t>
      </w:r>
      <w:r w:rsidR="005D58E7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ость будет списываться в 2025 г.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Федеральным законом «О федеральном бюджете на 2025 год и на плановый период 2026 и 2027 годов»</w:t>
      </w:r>
      <w:r w:rsidR="00A5131E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выполнении установленных Правительством Российской </w:t>
      </w:r>
      <w:r w:rsidR="00A5131E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условий по направлению высвобождаемых средств на определенные цели.</w:t>
      </w:r>
    </w:p>
    <w:p w:rsidR="002B4F8D" w:rsidRPr="00291E39" w:rsidRDefault="00F61201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2024 года отмечается нестабильный уровень ключевой ставки Банка России, в этой связи республика столкнулась с рисками сбалансированного исполнения бюджета. В связи с этим проводилась работа в Минфине России по оказанию содействия в привлечении коммерческих кредитов на условиях в соответствии с заключенными с Минфином России соглашениями.</w:t>
      </w:r>
    </w:p>
    <w:p w:rsidR="00FD0DEB" w:rsidRPr="00291E39" w:rsidRDefault="00FD0DEB" w:rsidP="00EC330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1DC" w:rsidRPr="00291E39" w:rsidRDefault="00C611DC" w:rsidP="00EC3308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Основные факторы, определяющие характер</w:t>
      </w:r>
    </w:p>
    <w:p w:rsidR="00C611DC" w:rsidRPr="00291E39" w:rsidRDefault="00C611DC" w:rsidP="00EC330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направления долговой политики Республики Тыва</w:t>
      </w:r>
    </w:p>
    <w:p w:rsidR="00C611DC" w:rsidRPr="00291E39" w:rsidRDefault="00C611DC" w:rsidP="00EC330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факторы, определяющие направления долговой политики Республики Тыва: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обеспечения сбалансированности республиканского бюджета Республики Тыва;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бюджетного законодательства;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ограничений по доле государственного долга Республики Тыва к налоговым и неналоговым доходам республиканского бюджета Республики Тыва;</w:t>
      </w:r>
    </w:p>
    <w:p w:rsidR="00C611DC" w:rsidRPr="00291E39" w:rsidRDefault="000D45BE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минимизация</w:t>
      </w:r>
      <w:r w:rsidR="00277A98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1DC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объема расходов на обслуживание государ</w:t>
      </w:r>
      <w:r w:rsidR="00666DD1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долга Республики Тыва;</w:t>
      </w:r>
    </w:p>
    <w:p w:rsidR="00666DD1" w:rsidRPr="00291E39" w:rsidRDefault="00666DD1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новых инструментов, внедряемых на федеральном</w:t>
      </w:r>
      <w:r w:rsidR="00EC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уровне для развития территории.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1DC" w:rsidRPr="00291E39" w:rsidRDefault="00C611DC" w:rsidP="00EC3308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 Цели и задачи долговой политики Республики Тыва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целью долговой политики Республики Тыва является обеспечение сбалансированности бюджета Республики Тыва с соблюдением ограничений, установленных бюджетным законодательством Российской Федерации и заключенными соглашениями с Минфином России.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долговой политики Республики Тыва являются: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1) поддержание параметров государственного долга в рамках, установленных бюджетным законодательством Российской Федерации;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обеспечение потребности бюджета в заемном финансировании;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3) своевременное и полное погашение долговых обязательств, а также обязательств по его обслуживанию;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4) отсутствие просроченной задолженности по долговым обязательствам;</w:t>
      </w:r>
    </w:p>
    <w:p w:rsidR="004E4012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5) сокращение государственного долга и оптимизация расходов на его обслуживание;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обеспечение дефицита республиканского бюджета на уровне не более 10 процентов суммы доходов республиканского бюджета Республики Тыва без учета безвозмездных поступлений (значение показателя может быть превышено </w:t>
      </w:r>
      <w:r w:rsidR="00786FA9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на сумму бюджетных ассигнований, направленных на финансовое обеспечение мероприятий, связанных с предотвращением влияния ухудшения геополитиче</w:t>
      </w:r>
      <w:r w:rsidR="00786FA9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ской и экономической ситуации на развитие отраслей экономики, и дополнительных мероприятий в сфере национальной обороны и национальной безопасности, включая осуществление мер социальной поддержки отдельных категорий граждан, а также мероприятий, связанных с ликвидацией чрезвычайных ситуаций федерального и межрегионального характера и их последствий, направленных на проведение неотложных аварийно-восстановительных работ и оказание мер социальной поддержки граждан, в том числе граждан, жилые помещения которых утрачены и (или) повреждены (за исключением мероприятий, источником финансового обеспечения которых являются межбюджетные трансферты из иных бюджетов бюджетно</w:t>
      </w:r>
      <w:r w:rsidR="0077797D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й системы Российской Федерации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C611DC" w:rsidRPr="00291E39" w:rsidRDefault="00666DD1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611DC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) исполнение условий, принятых при подписании соглашений с Министерством финансов Российской Федерации по реструктуризации бюд</w:t>
      </w:r>
      <w:r w:rsidR="00EC3308">
        <w:rPr>
          <w:rFonts w:ascii="Times New Roman" w:hAnsi="Times New Roman" w:cs="Times New Roman"/>
          <w:color w:val="000000" w:themeColor="text1"/>
          <w:sz w:val="28"/>
          <w:szCs w:val="28"/>
        </w:rPr>
        <w:t>жетных кредитов в 2020-</w:t>
      </w:r>
      <w:r w:rsidR="00C611DC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2022 годах</w:t>
      </w:r>
      <w:r w:rsidR="00937466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2D2F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</w:t>
      </w:r>
      <w:r w:rsidR="00EF1694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единого </w:t>
      </w:r>
      <w:r w:rsidR="00932D2F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</w:t>
      </w:r>
      <w:r w:rsidR="00EF1694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932D2F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</w:t>
      </w:r>
      <w:r w:rsidR="00EF1694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я к ним в 2025 году, предусматривающего изменение графика погашения задолженности по бюджетным кредитам,</w:t>
      </w:r>
      <w:r w:rsidR="00C611DC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установленных законодательством возможных случаев превышения, а именно:</w:t>
      </w:r>
    </w:p>
    <w:p w:rsidR="00C611DC" w:rsidRPr="00291E39" w:rsidRDefault="00666DD1" w:rsidP="00291E3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611DC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.1) </w:t>
      </w:r>
      <w:r w:rsidR="0055054C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сохранения доли общего объема долговых обязательств, в том числе по долговым обязательствам по кредитам, полученным от кредитных организаций: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 1 января 2026 г. доля общего объема долговых обязательств составит не более </w:t>
      </w:r>
      <w:r w:rsidR="00EA0076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 от суммы доходов республиканского бюджета Республики Тыва без учета безвозмездных поступлений за 2025 год, в том числе доля общего объема долговых обязательств по кредитам, полученным от кредитных организаций, составит не более </w:t>
      </w:r>
      <w:r w:rsidR="00EA0076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 от суммы доходов республиканского бюджета Республики Тыва без учета безвозмездных поступлений за 2025 год;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 1 января 2027 г. доля общего объема долговых обязательств составит не более </w:t>
      </w:r>
      <w:r w:rsidR="00EA0076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 от суммы доходов республиканского бюджета Республики Тыва без учета безвозмездных поступлений за 2026 год, в том числе доля общего объема долговых обязательств по кредитам, полученным от кредитных организаций, составит не более </w:t>
      </w:r>
      <w:r w:rsidR="00EA0076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 от суммы доходов республиканского бюджета Республики Тыва без учета безвозмездных поступлений за 2026 год;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 1 января 2028 г. доля общего объема долговых обязательств составит не более </w:t>
      </w:r>
      <w:r w:rsidR="00EA0076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 от суммы доходов республиканского бюджета Республики Тыва без учета безвозмездных поступлений за 2027 год, в том числе доля общего объема долговых обязательств по кредитам, полученным от кредитных организаций, составит не более </w:t>
      </w:r>
      <w:r w:rsidR="00EA0076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 от суммы доходов республиканского бюджета Республики Тыва без учета безвозмездных поступлений за 2027 год;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- к 1 января 2029 г. доля общего объема долговых о</w:t>
      </w:r>
      <w:r w:rsidR="00EA0076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бязательств составит не более 36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 от суммы доходов республиканского бюджета Республики Тыва без учета безвозмездных поступлений за 2028 год, в том числе доля общего объема долговых обязательств по кредитам, полученным от кредитных организаций, составит не более </w:t>
      </w:r>
      <w:r w:rsidR="00EA0076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 от суммы доходов республиканского бюджета Республики Тыва без учета безвозмездных поступлений за 2028 год;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 1 января 2030 г. доля общего объема долговых обязательств составит не более 36 процентов от суммы доходов республиканского бюджета Республики 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Тыва без учета безвозмездных поступлений за 2029 год, в том числе доля общего объема долговых обязательств по кредитам, полученным от кредитных организаций, составит не более 26 процентов от суммы доходов республиканского бюджета Республики Тыва без учета безвоз</w:t>
      </w:r>
      <w:r w:rsidR="00EC3308">
        <w:rPr>
          <w:rFonts w:ascii="Times New Roman" w:hAnsi="Times New Roman" w:cs="Times New Roman"/>
          <w:color w:val="000000" w:themeColor="text1"/>
          <w:sz w:val="28"/>
          <w:szCs w:val="28"/>
        </w:rPr>
        <w:t>мездных поступлений за 2029 год;</w:t>
      </w:r>
    </w:p>
    <w:p w:rsidR="00C611DC" w:rsidRPr="00291E39" w:rsidRDefault="00666DD1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611DC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.2) привлечение в республиканский бюджет Республики Тыва кредитов от кредитных организаций исключительно по ставкам </w:t>
      </w:r>
      <w:r w:rsidR="000F40B6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на уровне не более чем уровень ключевой ставки, установленный Центральным банком Российской Федерации, увеличенный на 3,5 процента годовых</w:t>
      </w:r>
      <w:r w:rsidR="00994211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2A03" w:rsidRPr="00291E39" w:rsidRDefault="00666DD1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611DC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.3) обеспечение возможности привлечения в местные бюджеты Республики Тыва кредитов кредитных организаций исключительно по ставкам на уровне не более уровня ключевой ставки, установленной Центральным банком Российской Федерации, увеличенного на </w:t>
      </w:r>
      <w:r w:rsidR="00FF31DC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3,5</w:t>
      </w:r>
      <w:r w:rsidR="00C611DC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</w:t>
      </w:r>
      <w:r w:rsidR="001C48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611DC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годовых;</w:t>
      </w:r>
    </w:p>
    <w:p w:rsidR="005B5F3C" w:rsidRPr="00291E39" w:rsidRDefault="00FF3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7.4) соблюдение ограничения общего объема государственного долга Республики Тыва по кредитам, полученным Республикой Тыва от кредитных организаций, иностранных банков и международных финансовых организаций, </w:t>
      </w:r>
      <w:r w:rsidR="00EC058D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уровне не более 25 </w:t>
      </w:r>
      <w:r w:rsidR="005B5F3C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процентов общего объема доходов консолидированного бюджета Республики Тыва без учета утвержденного объема безвозмездных по</w:t>
      </w:r>
      <w:r w:rsidR="00EC3308">
        <w:rPr>
          <w:rFonts w:ascii="Times New Roman" w:hAnsi="Times New Roman" w:cs="Times New Roman"/>
          <w:color w:val="000000" w:themeColor="text1"/>
          <w:sz w:val="28"/>
          <w:szCs w:val="28"/>
        </w:rPr>
        <w:t>ступлений за 2025-</w:t>
      </w:r>
      <w:r w:rsidR="001C481A">
        <w:rPr>
          <w:rFonts w:ascii="Times New Roman" w:hAnsi="Times New Roman" w:cs="Times New Roman"/>
          <w:color w:val="000000" w:themeColor="text1"/>
          <w:sz w:val="28"/>
          <w:szCs w:val="28"/>
        </w:rPr>
        <w:t>2039 годы соответственно;</w:t>
      </w:r>
    </w:p>
    <w:p w:rsidR="004F7B9D" w:rsidRPr="00291E39" w:rsidRDefault="004F7B9D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530DB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9CB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программе реструк</w:t>
      </w:r>
      <w:r w:rsidR="00F530DB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туризации бюджетных кредитов со</w:t>
      </w:r>
      <w:r w:rsidR="006079CB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списанием </w:t>
      </w:r>
      <w:r w:rsidR="00F530DB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две трети</w:t>
      </w:r>
      <w:r w:rsidR="006079CB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суммы </w:t>
      </w:r>
      <w:r w:rsidR="00F530DB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по бюджетным кредитам</w:t>
      </w:r>
      <w:r w:rsidR="006079CB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направлением высвобождаемых средств на поддержку инвестиций и на инфраструктурные проекты;</w:t>
      </w:r>
    </w:p>
    <w:p w:rsidR="000B6950" w:rsidRPr="00291E39" w:rsidRDefault="000B6950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9) продолжение практики использован</w:t>
      </w:r>
      <w:r w:rsidR="00647816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ия бюджетных кредитов на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пополнение остатка средств на едином счете бюджета (казначейских кредитов). Привлечение казначейских кредитов осуществляется в пределах финансового года и не влечет увеличения объема государственного долга </w:t>
      </w:r>
      <w:r w:rsidR="00027B4D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итогам соответствующего года. Кроме того, данные заимствования по ставке 0,1 процента годовых в пределах текущего финансового года позволят снизить сроки и объемы пользован</w:t>
      </w:r>
      <w:r w:rsidR="00027B4D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ия рыночными заимствованиями по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высокой ставке и, как следствие, обеспечить снижение расходов на обслуживание госу</w:t>
      </w:r>
      <w:r w:rsidR="00EC3308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дарственного долга.</w:t>
      </w:r>
    </w:p>
    <w:p w:rsidR="00AA42AB" w:rsidRPr="00291E39" w:rsidRDefault="00AA42AB" w:rsidP="00291E39">
      <w:pPr>
        <w:pStyle w:val="ConsPlusNormal"/>
        <w:tabs>
          <w:tab w:val="left" w:pos="415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1DC" w:rsidRPr="00291E39" w:rsidRDefault="00C611DC" w:rsidP="00EC3308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5. Инструменты реализации долговой </w:t>
      </w:r>
      <w:r w:rsidR="00EC33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291E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политики Республики Тыва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инструментами реализации долговой политики являются: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1) использование механизма управления свободными остатками денежных средств на едином счете бюджета для обеспечения ликвидности счета республиканского бюджета;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2) привлечение бюджетного кредита на пополнение остатка средств на едином счете бюджета как краткосрочный инструмент для покрытия кассового разрыва;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3) привлечение инфраструктурных бюджетных кредитов из федерального бюджета;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4) привлечение кредитов от кредитных организаций;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введение моратория на предоставление государственных гарантий Республики Тыва на период 202</w:t>
      </w:r>
      <w:r w:rsidR="00D75CE4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2624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75CE4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годов;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6) обеспечение раскрытия информации о государственном долге Республики Тыва;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7) ведение учета информации о государственном долге Республики Тыва, формирование отчетности о государственных долговых обязательствах Республики Тыва;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8) принятие мер по равномерному распределению долговой нагрузки по годам.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1DC" w:rsidRPr="00291E39" w:rsidRDefault="00C611DC" w:rsidP="00126244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6. Основные риски долговой политики Республики Тыва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рисками при реализации долговой политики являются:</w:t>
      </w:r>
    </w:p>
    <w:p w:rsidR="00B148FA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риск </w:t>
      </w:r>
      <w:proofErr w:type="spellStart"/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планируемых объемов поступлений дох</w:t>
      </w:r>
      <w:r w:rsidR="002A5100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одов республиканского бюджета – </w:t>
      </w:r>
      <w:proofErr w:type="spellStart"/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недопоступление</w:t>
      </w:r>
      <w:proofErr w:type="spellEnd"/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доходов потребует поиска альтернативных источников для выполнения принятых расходных обязательств бюджета и обеспечения его сбалансированности;</w:t>
      </w:r>
    </w:p>
    <w:p w:rsidR="00A64CD5" w:rsidRPr="00291E39" w:rsidRDefault="002A5100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процентный риск – </w:t>
      </w:r>
      <w:r w:rsidR="00C611DC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риск увеличения объема расходов на обслуживание государственного долга, связанный с ростом увеличения Банком России размера ключевой ставки и (или) ростом объемов привлечения кредитов для выполнения расходных обязательств</w:t>
      </w:r>
      <w:r w:rsidR="00F32A16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также необеспечения выполнения </w:t>
      </w:r>
      <w:proofErr w:type="gramStart"/>
      <w:r w:rsidR="00F32A16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proofErr w:type="gramEnd"/>
      <w:r w:rsidR="00F32A16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заключенных с Минфином России дополнительных соглашений к соглашениям о предоставлении Республик</w:t>
      </w:r>
      <w:r w:rsidR="00386CBB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32A16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Тыва бюджетного кредита из федерального бюджета</w:t>
      </w:r>
      <w:r w:rsidR="00C611DC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611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3) р</w:t>
      </w:r>
      <w:r w:rsidR="00A66303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 ликвидности – 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 республиканском бюджете Республики Тыва средств для полного исполнения расходных и долговых обязательств в срок, в том числе по причине отсутствия участников электронных аукционов по</w:t>
      </w:r>
      <w:r w:rsidR="002A5100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привлечению кредитных ресурсов;</w:t>
      </w:r>
    </w:p>
    <w:p w:rsidR="002A5100" w:rsidRPr="00291E39" w:rsidRDefault="002A5100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A66303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риск рефинансирования – 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вероятность потерь вследствие невыгодных условий привлечения </w:t>
      </w:r>
      <w:r w:rsidR="00662FED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рыночных заимствований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вынужденное рефинансирование уже имеющихся обязательств.</w:t>
      </w:r>
    </w:p>
    <w:p w:rsidR="00EF44DC" w:rsidRPr="00291E39" w:rsidRDefault="00C611DC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снижения </w:t>
      </w:r>
      <w:r w:rsidR="00F672B6"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вышеуказанных </w:t>
      </w:r>
      <w:r w:rsidRPr="00291E39">
        <w:rPr>
          <w:rFonts w:ascii="Times New Roman" w:hAnsi="Times New Roman" w:cs="Times New Roman"/>
          <w:color w:val="000000" w:themeColor="text1"/>
          <w:sz w:val="28"/>
          <w:szCs w:val="28"/>
        </w:rPr>
        <w:t>рисков и сохранения их на приемлемом уровне реализация долговой политики будет осуществляться на основе прогнозов поступления доходов, финансирования расходов и привлечения государственных заимствований, анализа исполнения бюджета предыдущих лет, изменений ключевой ставки Центрального банка Российской Федерации.</w:t>
      </w:r>
    </w:p>
    <w:p w:rsidR="00F530DB" w:rsidRDefault="00F530DB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244" w:rsidRDefault="00126244" w:rsidP="00291E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244" w:rsidRPr="00291E39" w:rsidRDefault="00126244" w:rsidP="0012624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sectPr w:rsidR="00126244" w:rsidRPr="00291E39" w:rsidSect="00126244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E9D" w:rsidRDefault="003F7E9D" w:rsidP="00126244">
      <w:pPr>
        <w:spacing w:after="0" w:line="240" w:lineRule="auto"/>
      </w:pPr>
      <w:r>
        <w:separator/>
      </w:r>
    </w:p>
  </w:endnote>
  <w:endnote w:type="continuationSeparator" w:id="0">
    <w:p w:rsidR="003F7E9D" w:rsidRDefault="003F7E9D" w:rsidP="0012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E9D" w:rsidRDefault="003F7E9D" w:rsidP="00126244">
      <w:pPr>
        <w:spacing w:after="0" w:line="240" w:lineRule="auto"/>
      </w:pPr>
      <w:r>
        <w:separator/>
      </w:r>
    </w:p>
  </w:footnote>
  <w:footnote w:type="continuationSeparator" w:id="0">
    <w:p w:rsidR="003F7E9D" w:rsidRDefault="003F7E9D" w:rsidP="0012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7989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26244" w:rsidRPr="00126244" w:rsidRDefault="00126244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126244">
          <w:rPr>
            <w:rFonts w:ascii="Times New Roman" w:hAnsi="Times New Roman" w:cs="Times New Roman"/>
            <w:sz w:val="24"/>
          </w:rPr>
          <w:fldChar w:fldCharType="begin"/>
        </w:r>
        <w:r w:rsidRPr="00126244">
          <w:rPr>
            <w:rFonts w:ascii="Times New Roman" w:hAnsi="Times New Roman" w:cs="Times New Roman"/>
            <w:sz w:val="24"/>
          </w:rPr>
          <w:instrText>PAGE   \* MERGEFORMAT</w:instrText>
        </w:r>
        <w:r w:rsidRPr="00126244">
          <w:rPr>
            <w:rFonts w:ascii="Times New Roman" w:hAnsi="Times New Roman" w:cs="Times New Roman"/>
            <w:sz w:val="24"/>
          </w:rPr>
          <w:fldChar w:fldCharType="separate"/>
        </w:r>
        <w:r w:rsidR="00A40765">
          <w:rPr>
            <w:rFonts w:ascii="Times New Roman" w:hAnsi="Times New Roman" w:cs="Times New Roman"/>
            <w:noProof/>
            <w:sz w:val="24"/>
          </w:rPr>
          <w:t>6</w:t>
        </w:r>
        <w:r w:rsidRPr="0012624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c1b5b0a-010e-4e5d-b077-50e80f07e160"/>
  </w:docVars>
  <w:rsids>
    <w:rsidRoot w:val="00C611DC"/>
    <w:rsid w:val="00002D96"/>
    <w:rsid w:val="00005FD0"/>
    <w:rsid w:val="0001257B"/>
    <w:rsid w:val="000125B8"/>
    <w:rsid w:val="00017282"/>
    <w:rsid w:val="00023977"/>
    <w:rsid w:val="00024231"/>
    <w:rsid w:val="00027B4D"/>
    <w:rsid w:val="00030B94"/>
    <w:rsid w:val="00044562"/>
    <w:rsid w:val="00052ED7"/>
    <w:rsid w:val="00060C29"/>
    <w:rsid w:val="000B6950"/>
    <w:rsid w:val="000D45BE"/>
    <w:rsid w:val="000D4979"/>
    <w:rsid w:val="000E4320"/>
    <w:rsid w:val="000F3004"/>
    <w:rsid w:val="000F31D0"/>
    <w:rsid w:val="000F40B6"/>
    <w:rsid w:val="0010451A"/>
    <w:rsid w:val="00126244"/>
    <w:rsid w:val="00151263"/>
    <w:rsid w:val="001630F8"/>
    <w:rsid w:val="0017056A"/>
    <w:rsid w:val="00174F52"/>
    <w:rsid w:val="0017689D"/>
    <w:rsid w:val="00194327"/>
    <w:rsid w:val="001C481A"/>
    <w:rsid w:val="00214B34"/>
    <w:rsid w:val="00216CCF"/>
    <w:rsid w:val="002207F1"/>
    <w:rsid w:val="00231A01"/>
    <w:rsid w:val="00231B5A"/>
    <w:rsid w:val="002375FD"/>
    <w:rsid w:val="0025680C"/>
    <w:rsid w:val="00256AEB"/>
    <w:rsid w:val="00277A98"/>
    <w:rsid w:val="002838FA"/>
    <w:rsid w:val="00291E39"/>
    <w:rsid w:val="00294197"/>
    <w:rsid w:val="002A5100"/>
    <w:rsid w:val="002B4F8D"/>
    <w:rsid w:val="003176AD"/>
    <w:rsid w:val="003241CF"/>
    <w:rsid w:val="0032694C"/>
    <w:rsid w:val="00331EA5"/>
    <w:rsid w:val="00334432"/>
    <w:rsid w:val="003502AA"/>
    <w:rsid w:val="00353312"/>
    <w:rsid w:val="00373282"/>
    <w:rsid w:val="00373570"/>
    <w:rsid w:val="00375DAC"/>
    <w:rsid w:val="00386CBB"/>
    <w:rsid w:val="003A7C3B"/>
    <w:rsid w:val="003B1514"/>
    <w:rsid w:val="003B1B0C"/>
    <w:rsid w:val="003D239A"/>
    <w:rsid w:val="003F7E9D"/>
    <w:rsid w:val="00427458"/>
    <w:rsid w:val="00454A76"/>
    <w:rsid w:val="00454CDB"/>
    <w:rsid w:val="0046741E"/>
    <w:rsid w:val="004828B2"/>
    <w:rsid w:val="00491080"/>
    <w:rsid w:val="00492193"/>
    <w:rsid w:val="004973AF"/>
    <w:rsid w:val="004A60C9"/>
    <w:rsid w:val="004B75E7"/>
    <w:rsid w:val="004C33B7"/>
    <w:rsid w:val="004E4012"/>
    <w:rsid w:val="004F23D1"/>
    <w:rsid w:val="004F7B9D"/>
    <w:rsid w:val="00501303"/>
    <w:rsid w:val="005101D0"/>
    <w:rsid w:val="00511ADA"/>
    <w:rsid w:val="0055054C"/>
    <w:rsid w:val="00582FF2"/>
    <w:rsid w:val="00595189"/>
    <w:rsid w:val="005B1720"/>
    <w:rsid w:val="005B193E"/>
    <w:rsid w:val="005B3441"/>
    <w:rsid w:val="005B5F3C"/>
    <w:rsid w:val="005B70B3"/>
    <w:rsid w:val="005D58E7"/>
    <w:rsid w:val="005E09EB"/>
    <w:rsid w:val="005F1FAF"/>
    <w:rsid w:val="006079CB"/>
    <w:rsid w:val="006202E1"/>
    <w:rsid w:val="00633608"/>
    <w:rsid w:val="00636CC3"/>
    <w:rsid w:val="0063794E"/>
    <w:rsid w:val="00645F76"/>
    <w:rsid w:val="00647816"/>
    <w:rsid w:val="00662FED"/>
    <w:rsid w:val="00666DD1"/>
    <w:rsid w:val="006B5CDA"/>
    <w:rsid w:val="006B7530"/>
    <w:rsid w:val="006C54AE"/>
    <w:rsid w:val="006E0E51"/>
    <w:rsid w:val="00703F9F"/>
    <w:rsid w:val="00731BC4"/>
    <w:rsid w:val="007479C1"/>
    <w:rsid w:val="0075479E"/>
    <w:rsid w:val="0075556B"/>
    <w:rsid w:val="00764979"/>
    <w:rsid w:val="0077256B"/>
    <w:rsid w:val="00775D18"/>
    <w:rsid w:val="0077797D"/>
    <w:rsid w:val="00786FA9"/>
    <w:rsid w:val="007916AA"/>
    <w:rsid w:val="00792A03"/>
    <w:rsid w:val="00795554"/>
    <w:rsid w:val="007957DB"/>
    <w:rsid w:val="007B3C5C"/>
    <w:rsid w:val="007B67CA"/>
    <w:rsid w:val="007E4EDD"/>
    <w:rsid w:val="008123B8"/>
    <w:rsid w:val="0081316F"/>
    <w:rsid w:val="00815128"/>
    <w:rsid w:val="00827169"/>
    <w:rsid w:val="00834C4A"/>
    <w:rsid w:val="00842D6C"/>
    <w:rsid w:val="00850183"/>
    <w:rsid w:val="0085459D"/>
    <w:rsid w:val="00861A10"/>
    <w:rsid w:val="0086547E"/>
    <w:rsid w:val="00872A5F"/>
    <w:rsid w:val="008B089F"/>
    <w:rsid w:val="008B6854"/>
    <w:rsid w:val="008E2EFE"/>
    <w:rsid w:val="008E425A"/>
    <w:rsid w:val="008E4CC8"/>
    <w:rsid w:val="008E50C1"/>
    <w:rsid w:val="008F137B"/>
    <w:rsid w:val="008F5F9F"/>
    <w:rsid w:val="00903611"/>
    <w:rsid w:val="009260A9"/>
    <w:rsid w:val="00932D2F"/>
    <w:rsid w:val="00933A49"/>
    <w:rsid w:val="0093708B"/>
    <w:rsid w:val="00937466"/>
    <w:rsid w:val="00940F37"/>
    <w:rsid w:val="0096617A"/>
    <w:rsid w:val="00966B3E"/>
    <w:rsid w:val="00985F6B"/>
    <w:rsid w:val="009919AC"/>
    <w:rsid w:val="00994211"/>
    <w:rsid w:val="009B792D"/>
    <w:rsid w:val="009D0381"/>
    <w:rsid w:val="009E7277"/>
    <w:rsid w:val="009F4CF1"/>
    <w:rsid w:val="00A04B21"/>
    <w:rsid w:val="00A302F5"/>
    <w:rsid w:val="00A30AA0"/>
    <w:rsid w:val="00A40765"/>
    <w:rsid w:val="00A50F62"/>
    <w:rsid w:val="00A5131E"/>
    <w:rsid w:val="00A53131"/>
    <w:rsid w:val="00A64CD5"/>
    <w:rsid w:val="00A66303"/>
    <w:rsid w:val="00A73B6E"/>
    <w:rsid w:val="00A81ED9"/>
    <w:rsid w:val="00A87E08"/>
    <w:rsid w:val="00A929B9"/>
    <w:rsid w:val="00A94936"/>
    <w:rsid w:val="00AA42AB"/>
    <w:rsid w:val="00AB319A"/>
    <w:rsid w:val="00AB33F7"/>
    <w:rsid w:val="00AC6C3A"/>
    <w:rsid w:val="00AD094C"/>
    <w:rsid w:val="00AD5CE5"/>
    <w:rsid w:val="00AE74A3"/>
    <w:rsid w:val="00AE7AEF"/>
    <w:rsid w:val="00AF1F35"/>
    <w:rsid w:val="00AF5E65"/>
    <w:rsid w:val="00AF6E78"/>
    <w:rsid w:val="00B00787"/>
    <w:rsid w:val="00B148FA"/>
    <w:rsid w:val="00B205B4"/>
    <w:rsid w:val="00B21135"/>
    <w:rsid w:val="00B24580"/>
    <w:rsid w:val="00B257FF"/>
    <w:rsid w:val="00B33902"/>
    <w:rsid w:val="00B4387E"/>
    <w:rsid w:val="00B52F04"/>
    <w:rsid w:val="00BC06FE"/>
    <w:rsid w:val="00BC5426"/>
    <w:rsid w:val="00BD0796"/>
    <w:rsid w:val="00BD13D3"/>
    <w:rsid w:val="00BF4586"/>
    <w:rsid w:val="00BF5908"/>
    <w:rsid w:val="00C0296D"/>
    <w:rsid w:val="00C116BA"/>
    <w:rsid w:val="00C13590"/>
    <w:rsid w:val="00C1687D"/>
    <w:rsid w:val="00C37F36"/>
    <w:rsid w:val="00C410A4"/>
    <w:rsid w:val="00C552EB"/>
    <w:rsid w:val="00C603A4"/>
    <w:rsid w:val="00C611DC"/>
    <w:rsid w:val="00C677DB"/>
    <w:rsid w:val="00C73595"/>
    <w:rsid w:val="00C97F1E"/>
    <w:rsid w:val="00CA3529"/>
    <w:rsid w:val="00CC736D"/>
    <w:rsid w:val="00CD1159"/>
    <w:rsid w:val="00CD2291"/>
    <w:rsid w:val="00CD3777"/>
    <w:rsid w:val="00CE11F3"/>
    <w:rsid w:val="00CE6D2B"/>
    <w:rsid w:val="00CE6FC2"/>
    <w:rsid w:val="00D23B5D"/>
    <w:rsid w:val="00D32162"/>
    <w:rsid w:val="00D37BDF"/>
    <w:rsid w:val="00D75CE4"/>
    <w:rsid w:val="00D82B00"/>
    <w:rsid w:val="00D9393A"/>
    <w:rsid w:val="00D972EE"/>
    <w:rsid w:val="00DA3BB3"/>
    <w:rsid w:val="00DB3B3C"/>
    <w:rsid w:val="00DB495D"/>
    <w:rsid w:val="00DD2914"/>
    <w:rsid w:val="00DD3816"/>
    <w:rsid w:val="00DD3993"/>
    <w:rsid w:val="00DD4D21"/>
    <w:rsid w:val="00E22593"/>
    <w:rsid w:val="00E26952"/>
    <w:rsid w:val="00E33FBC"/>
    <w:rsid w:val="00E51AE3"/>
    <w:rsid w:val="00E9003F"/>
    <w:rsid w:val="00E9031D"/>
    <w:rsid w:val="00E908EF"/>
    <w:rsid w:val="00E97C97"/>
    <w:rsid w:val="00EA0076"/>
    <w:rsid w:val="00EB7F36"/>
    <w:rsid w:val="00EC058D"/>
    <w:rsid w:val="00EC0970"/>
    <w:rsid w:val="00EC3308"/>
    <w:rsid w:val="00EC559C"/>
    <w:rsid w:val="00ED67B5"/>
    <w:rsid w:val="00EF1694"/>
    <w:rsid w:val="00EF44DC"/>
    <w:rsid w:val="00F272A3"/>
    <w:rsid w:val="00F32A16"/>
    <w:rsid w:val="00F506E3"/>
    <w:rsid w:val="00F530DB"/>
    <w:rsid w:val="00F57C09"/>
    <w:rsid w:val="00F61201"/>
    <w:rsid w:val="00F6616D"/>
    <w:rsid w:val="00F672B6"/>
    <w:rsid w:val="00F722CD"/>
    <w:rsid w:val="00F74E38"/>
    <w:rsid w:val="00F80DBF"/>
    <w:rsid w:val="00F813E5"/>
    <w:rsid w:val="00F85C5E"/>
    <w:rsid w:val="00F9281F"/>
    <w:rsid w:val="00FA7E7B"/>
    <w:rsid w:val="00FB3F21"/>
    <w:rsid w:val="00FD0DEB"/>
    <w:rsid w:val="00FD7D46"/>
    <w:rsid w:val="00FE27FD"/>
    <w:rsid w:val="00FE29BB"/>
    <w:rsid w:val="00FF1F70"/>
    <w:rsid w:val="00FF31DC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96AAB5-C228-4CEA-858A-ADBA4A80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1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11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11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1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6244"/>
  </w:style>
  <w:style w:type="paragraph" w:styleId="a7">
    <w:name w:val="footer"/>
    <w:basedOn w:val="a"/>
    <w:link w:val="a8"/>
    <w:uiPriority w:val="99"/>
    <w:unhideWhenUsed/>
    <w:rsid w:val="0012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6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40F49D0B0DA2E2A17223BE150E7011C6B69A90E8737ED9FD97249FB97964B04D85637BF9E25FE9E3495A88A515A4Bo7sE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940F49D0B0DA2E2A173C36F73CBD0F1C6533A608813BBAC6862914AC9E9C1C43970F63F9C828F5CB7BD0FC99535B577CE19F647069o2sA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A8F7-381E-42FA-98A3-36815820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Тас-оол Оксана Всеволодовна</cp:lastModifiedBy>
  <cp:revision>4</cp:revision>
  <cp:lastPrinted>2025-03-13T05:08:00Z</cp:lastPrinted>
  <dcterms:created xsi:type="dcterms:W3CDTF">2025-03-13T02:52:00Z</dcterms:created>
  <dcterms:modified xsi:type="dcterms:W3CDTF">2025-03-13T05:08:00Z</dcterms:modified>
</cp:coreProperties>
</file>